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89"/>
        <w:gridCol w:w="5166"/>
        <w:gridCol w:w="157"/>
        <w:gridCol w:w="82"/>
        <w:gridCol w:w="4062"/>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E40176" w14:paraId="4F9450A3" w14:textId="6840C4B2">
            <w:r>
              <w:t>Mintz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E40176" w14:paraId="624F8F71" w14:textId="46F8E00B">
            <w:r>
              <w:t>California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00093CA9" w:rsidP="00093CA9" w:rsidRDefault="0088764E" w14:paraId="313A697B" w14:textId="663332D4">
            <w:r>
              <w:t>Low Carbon Fuel Standard</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FF483A" w:rsidP="00093CA9" w:rsidRDefault="00FF483A" w14:paraId="1181706B" w14:textId="77777777">
            <w:hyperlink w:history="1" r:id="rId17">
              <w:r w:rsidRPr="00F90F3A">
                <w:rPr>
                  <w:rStyle w:val="Hyperlink"/>
                </w:rPr>
                <w:t>https://web.archive.org/web/20250806012533/https://ww2.arb.ca.gov/our-work/programs/low-carbon-fuel-standard/about</w:t>
              </w:r>
            </w:hyperlink>
          </w:p>
          <w:p w:rsidR="005B43E9" w:rsidP="00093CA9" w:rsidRDefault="005B43E9" w14:paraId="1938E7AF" w14:textId="77777777"/>
          <w:p w:rsidR="005B43E9" w:rsidP="00093CA9" w:rsidRDefault="005B43E9" w14:paraId="1523C232" w14:textId="5C107869">
            <w:hyperlink w:history="1" r:id="rId18">
              <w:r w:rsidRPr="00F90F3A">
                <w:rPr>
                  <w:rStyle w:val="Hyperlink"/>
                </w:rPr>
                <w:t>https://web.archive.org/web/20250806023131/https://ww2.arb.ca.gov/sites/default/files/2025-07/2025_lcfs_fro_oal-approved_unofficial_07162025.pdf</w:t>
              </w:r>
            </w:hyperlink>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093CA9" w14:paraId="4E49657F" w14:textId="5531CE79"/>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77777777"/>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77777777"/>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8221EF" w14:paraId="676670DF" w14:textId="062FEE35">
            <w:r>
              <w:t>X</w:t>
            </w:r>
          </w:p>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77777777"/>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77777777"/>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AB5D94" w:rsidP="00093CA9" w:rsidRDefault="00AB5D94" w14:paraId="18257824" w14:textId="66D8F44A">
            <w:r>
              <w:t xml:space="preserve">The Low Carbon Fuel Standard (“LCFS”) is a </w:t>
            </w:r>
            <w:r w:rsidR="00E7328B">
              <w:t xml:space="preserve">market-based program designed to reduce greenhouse (GHG) emissions and air pollution from transportation fuels by lowering their carbon intensity (CI) over time.  It works by requiring fuel suppliers to meet declining annual CI benchmarks and allows them to generate or purchase credits to comply thereby creating a market for low-carbon fuels like electricity, hydrogen, and renewable diesel.  The LCFS encourages investment and innovation in cleaner fuels, reducing California’s reliance on fossil fuels and improving air quality.  </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E7328B" w14:paraId="54354EEF" w14:textId="2C209B3E">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E7328B" w:rsidP="00D876EA" w:rsidRDefault="00E7328B" w14:paraId="11F46C29" w14:textId="77777777">
            <w:r>
              <w:t xml:space="preserve">The California Low Carbon Fuel Standard (LCFS) began implementation on January 1, 2011, following the </w:t>
            </w:r>
            <w:proofErr w:type="spellStart"/>
            <w:r>
              <w:t>CARB’s</w:t>
            </w:r>
            <w:proofErr w:type="spellEnd"/>
            <w:r>
              <w:t xml:space="preserve"> approval of the program in 2009 and April 2010.  While the regulation was adopted in 2009 and became effective in April 2010, the actual application of the LCFS in the fuel market started in 2011</w:t>
            </w:r>
            <w:r w:rsidR="00D876EA">
              <w:t xml:space="preserve">.  The program faced procedural issues that led to its re-adoption in 2015, with the revised program becoming effect on January 1, 2016.  </w:t>
            </w:r>
          </w:p>
          <w:p w:rsidRPr="00D876EA" w:rsidR="00D876EA" w:rsidP="00D876EA" w:rsidRDefault="00D876EA" w14:paraId="312E9D7B" w14:textId="75E94425">
            <w:r>
              <w:t xml:space="preserve">In 2018, the Board approved further amendments to the regulation, which included strengthening and smoothing the carbon intensity benchmarks through 2030 in-line with California’s 2030 GHG emission reduction target enacted through SB 32, adding new crediting opportunities to promote zero emission vehicle adoption, alternative jet fuel, carbon capture and sequestration, and advanced technologies to achieve deep decarbonization in the transportation sector. </w:t>
            </w:r>
          </w:p>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D876EA" w14:paraId="22A2FF1A" w14:textId="4BEC29AB">
            <w:pPr>
              <w:rPr>
                <w:color w:val="000000" w:themeColor="text1"/>
              </w:rPr>
            </w:pPr>
            <w:r>
              <w:rPr>
                <w:color w:val="000000" w:themeColor="text1"/>
              </w:rPr>
              <w:t xml:space="preserve">2009 </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D876EA" w14:paraId="5AD2325B" w14:textId="7F5A104C">
            <w:pPr>
              <w:rPr>
                <w:color w:val="000000" w:themeColor="text1"/>
              </w:rPr>
            </w:pPr>
            <w:r>
              <w:rPr>
                <w:color w:val="000000" w:themeColor="text1"/>
              </w:rPr>
              <w:t>2009-20</w:t>
            </w:r>
            <w:r w:rsidR="009F0271">
              <w:rPr>
                <w:color w:val="000000" w:themeColor="text1"/>
              </w:rPr>
              <w:t>45</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D876EA" w14:paraId="1A1B9D26" w14:textId="1A0EB164">
            <w:pPr>
              <w:rPr>
                <w:color w:val="000000" w:themeColor="text1"/>
              </w:rPr>
            </w:pPr>
            <w:r>
              <w:rPr>
                <w:color w:val="000000" w:themeColor="text1"/>
              </w:rPr>
              <w:t>The LCFS program sets goals to reduce carbon intensity by 30% by 2030 and 90% by 2045.</w:t>
            </w: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D876EA" w14:paraId="212B1951" w14:textId="4DA7C1C3">
            <w:pPr>
              <w:rPr>
                <w:color w:val="000000" w:themeColor="text1"/>
              </w:rPr>
            </w:pPr>
            <w:r>
              <w:rPr>
                <w:color w:val="000000" w:themeColor="text1"/>
              </w:rPr>
              <w:t>2045</w:t>
            </w: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D876EA" w14:paraId="7961F236" w14:textId="374450BC">
            <w:r>
              <w:t>The California Air Resources Board (CARB)</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093CA9" w14:paraId="58D97C26" w14:textId="77777777"/>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D876EA" w14:paraId="6DCCE4F4" w14:textId="52D9FD2F">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lastRenderedPageBreak/>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lastRenderedPageBreak/>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515441" w14:paraId="54F7EBC8" w14:textId="0D910685">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00093CA9" w:rsidP="00093CA9" w:rsidRDefault="00515441" w14:paraId="02F8C7EA" w14:textId="77777777">
            <w:pPr>
              <w:keepNext/>
              <w:rPr>
                <w:color w:val="000000" w:themeColor="text1"/>
              </w:rPr>
            </w:pPr>
            <w:r>
              <w:rPr>
                <w:color w:val="000000" w:themeColor="text1"/>
              </w:rPr>
              <w:t xml:space="preserve">The LCFS incorporates various monitoring systems and mechanisms to ensure its implementation and to enforce compliance with its rules. </w:t>
            </w:r>
          </w:p>
          <w:p w:rsidR="00515441" w:rsidP="00515441" w:rsidRDefault="00515441" w14:paraId="3EE38665" w14:textId="77777777">
            <w:pPr>
              <w:pStyle w:val="ListParagraph"/>
              <w:keepNext/>
              <w:numPr>
                <w:ilvl w:val="0"/>
                <w:numId w:val="50"/>
              </w:numPr>
              <w:rPr>
                <w:color w:val="000000" w:themeColor="text1"/>
              </w:rPr>
            </w:pPr>
            <w:r>
              <w:rPr>
                <w:color w:val="000000" w:themeColor="text1"/>
              </w:rPr>
              <w:t xml:space="preserve">Regulated entities (primarily producers and importers of transportation fuels) are required to submit quarterly fuel transaction reports and annual compliance reports to the CARB. </w:t>
            </w:r>
          </w:p>
          <w:p w:rsidR="00515441" w:rsidP="00515441" w:rsidRDefault="00515441" w14:paraId="2A2EBC0E" w14:textId="77777777">
            <w:pPr>
              <w:pStyle w:val="ListParagraph"/>
              <w:keepNext/>
              <w:numPr>
                <w:ilvl w:val="0"/>
                <w:numId w:val="50"/>
              </w:numPr>
              <w:rPr>
                <w:color w:val="000000" w:themeColor="text1"/>
              </w:rPr>
            </w:pPr>
            <w:r>
              <w:rPr>
                <w:color w:val="000000" w:themeColor="text1"/>
              </w:rPr>
              <w:t xml:space="preserve">CARB developed a LCFS Data Management System, a secure web-based system, to manage all data related to LCFS implementation, including fuel pathway certifications, fuel transaction reporting, and credit transfers. </w:t>
            </w:r>
          </w:p>
          <w:p w:rsidR="00515441" w:rsidP="00515441" w:rsidRDefault="00515441" w14:paraId="570FC6A9" w14:textId="77777777">
            <w:pPr>
              <w:pStyle w:val="ListParagraph"/>
              <w:keepNext/>
              <w:numPr>
                <w:ilvl w:val="0"/>
                <w:numId w:val="50"/>
              </w:numPr>
              <w:rPr>
                <w:color w:val="000000" w:themeColor="text1"/>
              </w:rPr>
            </w:pPr>
            <w:r>
              <w:rPr>
                <w:color w:val="000000" w:themeColor="text1"/>
              </w:rPr>
              <w:t>To ensure data completeness, accuracy, and conformance, the LCFS includes third-party verification requirements for reported data. Verification services are performed by qualified and trained verifiers accredited by CARB, and the list of these verifiers and verification bodies is publicly available.</w:t>
            </w:r>
          </w:p>
          <w:p w:rsidR="00515441" w:rsidP="00515441" w:rsidRDefault="00515441" w14:paraId="5AEADE54" w14:textId="77777777">
            <w:pPr>
              <w:pStyle w:val="ListParagraph"/>
              <w:keepNext/>
              <w:numPr>
                <w:ilvl w:val="0"/>
                <w:numId w:val="50"/>
              </w:numPr>
              <w:rPr>
                <w:color w:val="000000" w:themeColor="text1"/>
              </w:rPr>
            </w:pPr>
            <w:r>
              <w:rPr>
                <w:color w:val="000000" w:themeColor="text1"/>
              </w:rPr>
              <w:t xml:space="preserve">The LCFS uses a credit and deficit system to enforce compliance.  Transportation fuels with higher Carbon Intensity (CI) then the established benchmark generate deficits, while those with a lower CI generate credits.  Regulated parties with a deficit must either reduce their CI or purchase credits from those with a surplus. </w:t>
            </w:r>
          </w:p>
          <w:p w:rsidRPr="00515441" w:rsidR="00515441" w:rsidP="00515441" w:rsidRDefault="00515441" w14:paraId="2C2128DB" w14:textId="6A0EAEBB">
            <w:pPr>
              <w:pStyle w:val="ListParagraph"/>
              <w:keepNext/>
              <w:numPr>
                <w:ilvl w:val="0"/>
                <w:numId w:val="50"/>
              </w:numPr>
              <w:rPr>
                <w:color w:val="000000" w:themeColor="text1"/>
              </w:rPr>
            </w:pPr>
            <w:r>
              <w:rPr>
                <w:color w:val="000000" w:themeColor="text1"/>
              </w:rPr>
              <w:t xml:space="preserve">Regulated entities are also required to meet quarterly and annual reporting requirements. </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88764E"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88764E"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88764E"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515441" w14:paraId="1574B2DB" w14:textId="505231DF">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515441" w14:paraId="77590FC6" w14:textId="7C500E1A">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515441" w14:paraId="0BD0C46F" w14:textId="2639F056">
            <w:pPr>
              <w:rPr>
                <w:rFonts w:ascii="Calibri" w:hAnsi="Calibri" w:cs="Calibri"/>
              </w:rPr>
            </w:pPr>
            <w:r>
              <w:rPr>
                <w:rFonts w:ascii="Calibri" w:hAnsi="Calibri" w:cs="Calibri"/>
              </w:rPr>
              <w:t>X</w:t>
            </w: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515441" w14:paraId="7D3428D2" w14:textId="17C5D482">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515441" w14:paraId="36FDE8A5" w14:textId="1B763AB9">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515441" w14:paraId="0590EE0A" w14:textId="21B7873A">
            <w:pPr>
              <w:rPr>
                <w:rFonts w:ascii="Calibri" w:hAnsi="Calibri" w:cs="Calibri"/>
              </w:rPr>
            </w:pPr>
            <w:r>
              <w:rPr>
                <w:rFonts w:ascii="Calibri" w:hAnsi="Calibri" w:cs="Calibri"/>
              </w:rPr>
              <w:t>X</w:t>
            </w: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515441" w14:paraId="51B18F60" w14:textId="18CB8281">
            <w:pPr>
              <w:rPr>
                <w:rFonts w:ascii="Calibri" w:hAnsi="Calibri" w:cs="Calibri"/>
              </w:rPr>
            </w:pPr>
            <w:r>
              <w:rPr>
                <w:rFonts w:ascii="Calibri" w:hAnsi="Calibri" w:cs="Calibri"/>
              </w:rPr>
              <w:t>X</w:t>
            </w: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515441" w14:paraId="2E4A286B" w14:textId="525A5ED0">
            <w:pPr>
              <w:rPr>
                <w:rFonts w:ascii="Calibri" w:hAnsi="Calibri" w:cs="Calibri"/>
              </w:rPr>
            </w:pPr>
            <w:r>
              <w:rPr>
                <w:rFonts w:ascii="Calibri" w:hAnsi="Calibri" w:cs="Calibri"/>
              </w:rPr>
              <w:t>X</w:t>
            </w: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515441" w14:paraId="2B8AB3B9" w14:textId="6FF42422">
            <w:pPr>
              <w:rPr>
                <w:rFonts w:ascii="Calibri" w:hAnsi="Calibri" w:cs="Calibri"/>
              </w:rPr>
            </w:pPr>
            <w:r>
              <w:rPr>
                <w:rFonts w:ascii="Calibri" w:hAnsi="Calibri" w:cs="Calibri"/>
              </w:rPr>
              <w:t>X</w:t>
            </w: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515441" w14:paraId="6D84FEB1" w14:textId="041B0CA3">
            <w:pPr>
              <w:rPr>
                <w:rFonts w:ascii="Calibri" w:hAnsi="Calibri" w:cs="Calibri"/>
              </w:rPr>
            </w:pPr>
            <w:r>
              <w:rPr>
                <w:rFonts w:ascii="Calibri" w:hAnsi="Calibri" w:cs="Calibri"/>
              </w:rPr>
              <w:t>X</w:t>
            </w: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515441" w14:paraId="7DC8E64E" w14:textId="1CC08C6E">
            <w:pPr>
              <w:rPr>
                <w:rFonts w:ascii="Calibri" w:hAnsi="Calibri" w:cs="Calibri"/>
              </w:rPr>
            </w:pPr>
            <w:r>
              <w:rPr>
                <w:rFonts w:ascii="Calibri" w:hAnsi="Calibri" w:cs="Calibri"/>
              </w:rPr>
              <w:t>X</w:t>
            </w: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515441" w14:paraId="1054AE75" w14:textId="21D808D1">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515441" w14:paraId="6EF1B539" w14:textId="77D6FDE2">
            <w:pPr>
              <w:rPr>
                <w:rFonts w:ascii="Calibri" w:hAnsi="Calibri" w:cs="Calibri"/>
              </w:rPr>
            </w:pPr>
            <w:r>
              <w:rPr>
                <w:rFonts w:ascii="Calibri" w:hAnsi="Calibri" w:cs="Calibri"/>
              </w:rPr>
              <w:t>X</w:t>
            </w: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6234D03F">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21F44DDF">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50C7F44F">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5897C0B0">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00D72449">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515441" w14:paraId="6F8D0958" w14:textId="0EE24E18">
            <w:pPr>
              <w:rPr>
                <w:rFonts w:ascii="Calibri" w:hAnsi="Calibri" w:cs="Calibri"/>
              </w:rPr>
            </w:pPr>
            <w:r>
              <w:rPr>
                <w:rFonts w:ascii="Calibri" w:hAnsi="Calibri" w:cs="Calibri"/>
              </w:rPr>
              <w:t>X</w:t>
            </w: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515441" w14:paraId="3E6A42C1" w14:textId="1ADA9BFA">
            <w:pPr>
              <w:rPr>
                <w:rFonts w:ascii="Calibri" w:hAnsi="Calibri" w:cs="Calibri"/>
              </w:rPr>
            </w:pPr>
            <w:r>
              <w:rPr>
                <w:rFonts w:ascii="Calibri" w:hAnsi="Calibri" w:cs="Calibri"/>
              </w:rPr>
              <w:t>X</w:t>
            </w: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515441" w14:paraId="162D2245" w14:textId="4F9E9492">
            <w:pPr>
              <w:rPr>
                <w:rFonts w:ascii="Calibri" w:hAnsi="Calibri" w:cs="Calibri"/>
              </w:rPr>
            </w:pPr>
            <w:r>
              <w:rPr>
                <w:rFonts w:ascii="Calibri" w:hAnsi="Calibri" w:cs="Calibri"/>
              </w:rPr>
              <w:t>X</w:t>
            </w: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515441" w14:paraId="1AACC326" w14:textId="1F25F986">
            <w:pPr>
              <w:rPr>
                <w:rFonts w:ascii="Calibri" w:hAnsi="Calibri" w:cs="Calibri"/>
              </w:rPr>
            </w:pPr>
            <w:r>
              <w:rPr>
                <w:rFonts w:ascii="Calibri" w:hAnsi="Calibri" w:cs="Calibri"/>
              </w:rPr>
              <w:t>X</w:t>
            </w: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515441" w14:paraId="049CC376" w14:textId="11B67B36">
            <w:pPr>
              <w:rPr>
                <w:rFonts w:ascii="Calibri" w:hAnsi="Calibri" w:cs="Calibri"/>
              </w:rPr>
            </w:pPr>
            <w:r>
              <w:rPr>
                <w:rFonts w:ascii="Calibri" w:hAnsi="Calibri" w:cs="Calibri"/>
              </w:rPr>
              <w:t>X</w:t>
            </w: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515441" w14:paraId="6AE342D7" w14:textId="20A175C0">
            <w:pPr>
              <w:rPr>
                <w:rFonts w:ascii="Calibri" w:hAnsi="Calibri" w:cs="Calibri"/>
              </w:rPr>
            </w:pPr>
            <w:r>
              <w:rPr>
                <w:rFonts w:ascii="Calibri" w:hAnsi="Calibri" w:cs="Calibri"/>
              </w:rPr>
              <w:t>X</w:t>
            </w: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515441" w14:paraId="36B823FD" w14:textId="23353263">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51496CE3" w14:textId="3FB5240F">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515441" w14:paraId="71213F0F" w14:textId="4ADAB8C3">
            <w:pPr>
              <w:rPr>
                <w:rFonts w:ascii="Calibri" w:hAnsi="Calibri" w:cs="Calibri"/>
              </w:rPr>
            </w:pPr>
            <w:r>
              <w:rPr>
                <w:rFonts w:ascii="Calibri" w:hAnsi="Calibri" w:cs="Calibri"/>
              </w:rPr>
              <w:t>X</w:t>
            </w:r>
          </w:p>
        </w:tc>
        <w:tc>
          <w:tcPr>
            <w:tcW w:w="1723" w:type="dxa"/>
            <w:vAlign w:val="center"/>
          </w:tcPr>
          <w:p w:rsidRPr="00CF2E7C" w:rsidR="00092534" w:rsidP="00CF2E7C" w:rsidRDefault="00515441" w14:paraId="237D287F" w14:textId="43EEDE8A">
            <w:pPr>
              <w:rPr>
                <w:rFonts w:ascii="Calibri" w:hAnsi="Calibri" w:cs="Calibri"/>
              </w:rPr>
            </w:pPr>
            <w:r>
              <w:rPr>
                <w:rFonts w:ascii="Calibri" w:hAnsi="Calibri" w:cs="Calibri"/>
              </w:rPr>
              <w:t>X</w:t>
            </w: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515441" w14:paraId="2CAEE982" w14:textId="3DDC3BD6">
            <w:pPr>
              <w:rPr>
                <w:rFonts w:ascii="Calibri" w:hAnsi="Calibri" w:cs="Calibri"/>
              </w:rPr>
            </w:pPr>
            <w:r>
              <w:rPr>
                <w:rFonts w:ascii="Calibri" w:hAnsi="Calibri" w:cs="Calibri"/>
              </w:rPr>
              <w:t>X</w:t>
            </w: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515441" w14:paraId="39149581" w14:textId="1E19BA38">
            <w:pPr>
              <w:rPr>
                <w:rFonts w:ascii="Calibri" w:hAnsi="Calibri" w:cs="Calibri"/>
              </w:rPr>
            </w:pPr>
            <w:r>
              <w:rPr>
                <w:rFonts w:ascii="Calibri" w:hAnsi="Calibri" w:cs="Calibri"/>
              </w:rPr>
              <w:t>X</w:t>
            </w: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515441" w14:paraId="6316F493" w14:textId="5C09C923">
            <w:pPr>
              <w:rPr>
                <w:rFonts w:ascii="Calibri" w:hAnsi="Calibri" w:cs="Calibri"/>
              </w:rPr>
            </w:pPr>
            <w:r>
              <w:rPr>
                <w:rFonts w:ascii="Calibri" w:hAnsi="Calibri" w:cs="Calibri"/>
              </w:rPr>
              <w:t>X</w:t>
            </w: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515441" w14:paraId="014F7959" w14:textId="7E7638E6">
            <w:pPr>
              <w:rPr>
                <w:rFonts w:ascii="Calibri" w:hAnsi="Calibri" w:cs="Calibri"/>
              </w:rPr>
            </w:pPr>
            <w:r>
              <w:rPr>
                <w:rFonts w:ascii="Calibri" w:hAnsi="Calibri" w:cs="Calibri"/>
              </w:rPr>
              <w:t>X</w:t>
            </w: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515441" w14:paraId="76BC98C3" w14:textId="1871D30E">
            <w:pPr>
              <w:rPr>
                <w:rFonts w:ascii="Calibri" w:hAnsi="Calibri" w:cs="Calibri"/>
              </w:rPr>
            </w:pPr>
            <w:r>
              <w:rPr>
                <w:rFonts w:ascii="Calibri" w:hAnsi="Calibri" w:cs="Calibri"/>
              </w:rPr>
              <w:t>X</w:t>
            </w: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515441" w14:paraId="2A24D2F8" w14:textId="61BA9188">
            <w:pPr>
              <w:rPr>
                <w:rFonts w:ascii="Calibri" w:hAnsi="Calibri" w:cs="Calibri"/>
              </w:rPr>
            </w:pPr>
            <w:r>
              <w:rPr>
                <w:rFonts w:ascii="Calibri" w:hAnsi="Calibri" w:cs="Calibri"/>
              </w:rPr>
              <w:t>X</w:t>
            </w: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515441" w14:paraId="1042892F" w14:textId="4D6DF941">
            <w:pPr>
              <w:rPr>
                <w:rFonts w:ascii="Calibri" w:hAnsi="Calibri" w:cs="Calibri"/>
              </w:rPr>
            </w:pPr>
            <w:r>
              <w:rPr>
                <w:rFonts w:ascii="Calibri" w:hAnsi="Calibri" w:cs="Calibri"/>
              </w:rPr>
              <w:t>X</w:t>
            </w: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515441" w14:paraId="10C4AFD3" w14:textId="0F000D34">
            <w:pPr>
              <w:rPr>
                <w:rFonts w:ascii="Calibri" w:hAnsi="Calibri" w:cs="Calibri"/>
              </w:rPr>
            </w:pPr>
            <w:r>
              <w:rPr>
                <w:rFonts w:ascii="Calibri" w:hAnsi="Calibri" w:cs="Calibri"/>
              </w:rPr>
              <w:t>X</w:t>
            </w: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515441" w14:paraId="2B458A1F" w14:textId="10074E86">
            <w:pPr>
              <w:rPr>
                <w:rFonts w:ascii="Calibri" w:hAnsi="Calibri" w:cs="Calibri"/>
              </w:rPr>
            </w:pPr>
            <w:r>
              <w:rPr>
                <w:rFonts w:ascii="Calibri" w:hAnsi="Calibri" w:cs="Calibri"/>
              </w:rPr>
              <w:t>X</w:t>
            </w: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515441" w14:paraId="36548C61" w14:textId="035C1ADD">
            <w:pPr>
              <w:rPr>
                <w:rFonts w:ascii="Calibri" w:hAnsi="Calibri" w:cs="Calibri"/>
              </w:rPr>
            </w:pPr>
            <w:r>
              <w:rPr>
                <w:rFonts w:ascii="Calibri" w:hAnsi="Calibri" w:cs="Calibri"/>
              </w:rPr>
              <w:t>X</w:t>
            </w: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377B46" w14:paraId="6AC0B1BC" w14:textId="5E02ED0B">
            <w:pPr>
              <w:rPr>
                <w:rFonts w:ascii="Calibri" w:hAnsi="Calibri" w:cs="Calibri"/>
              </w:rPr>
            </w:pPr>
            <w:r>
              <w:rPr>
                <w:rFonts w:ascii="Calibri" w:hAnsi="Calibri" w:cs="Calibri"/>
              </w:rPr>
              <w:t xml:space="preserve"> </w:t>
            </w:r>
            <w:r w:rsidR="00515441">
              <w:rPr>
                <w:rFonts w:ascii="Calibri" w:hAnsi="Calibri" w:cs="Calibri"/>
              </w:rPr>
              <w:t>X</w:t>
            </w: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515441" w14:paraId="2638FA47" w14:textId="4F298F17">
            <w:pPr>
              <w:rPr>
                <w:rFonts w:ascii="Calibri" w:hAnsi="Calibri" w:cs="Calibri"/>
              </w:rPr>
            </w:pPr>
            <w:r>
              <w:rPr>
                <w:rFonts w:ascii="Calibri" w:hAnsi="Calibri" w:cs="Calibri"/>
              </w:rPr>
              <w:t>X</w:t>
            </w: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515441" w14:paraId="5CFEB38B" w14:textId="0863498A">
            <w:pPr>
              <w:rPr>
                <w:rFonts w:ascii="Calibri" w:hAnsi="Calibri" w:cs="Calibri"/>
              </w:rPr>
            </w:pPr>
            <w:r>
              <w:rPr>
                <w:rFonts w:ascii="Calibri" w:hAnsi="Calibri" w:cs="Calibri"/>
              </w:rPr>
              <w:t>X</w:t>
            </w: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43AC2A0B">
            <w:pPr>
              <w:rPr>
                <w:rFonts w:ascii="Calibri" w:hAnsi="Calibri" w:cs="Calibri"/>
              </w:rPr>
            </w:pPr>
          </w:p>
        </w:tc>
        <w:tc>
          <w:tcPr>
            <w:tcW w:w="1674" w:type="dxa"/>
            <w:vAlign w:val="center"/>
          </w:tcPr>
          <w:p w:rsidRPr="00CF2E7C" w:rsidR="00092534" w:rsidP="00CF2E7C" w:rsidRDefault="00515441" w14:paraId="467CF02B" w14:textId="3ED5C38F">
            <w:pPr>
              <w:rPr>
                <w:rFonts w:ascii="Calibri" w:hAnsi="Calibri" w:cs="Calibri"/>
              </w:rPr>
            </w:pPr>
            <w:r>
              <w:rPr>
                <w:rFonts w:ascii="Calibri" w:hAnsi="Calibri" w:cs="Calibri"/>
              </w:rPr>
              <w:t>X</w:t>
            </w: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515441" w14:paraId="11743748" w14:textId="44F8F4C3">
            <w:pPr>
              <w:rPr>
                <w:rFonts w:ascii="Calibri" w:hAnsi="Calibri" w:cs="Calibri"/>
              </w:rPr>
            </w:pPr>
            <w:r>
              <w:rPr>
                <w:rFonts w:ascii="Calibri" w:hAnsi="Calibri" w:cs="Calibri"/>
              </w:rPr>
              <w:t>Other companies are eligible (although not mandated) to participate in the program to earn credits by supplying low-carbon fuels or providing low-carbon services.  These include biofuel producers (producers o</w:t>
            </w:r>
            <w:r w:rsidR="00EC34F9">
              <w:rPr>
                <w:rFonts w:ascii="Calibri" w:hAnsi="Calibri" w:cs="Calibri"/>
              </w:rPr>
              <w:t>f</w:t>
            </w:r>
            <w:r>
              <w:rPr>
                <w:rFonts w:ascii="Calibri" w:hAnsi="Calibri" w:cs="Calibri"/>
              </w:rPr>
              <w:t xml:space="preserve"> biomass-based diesel, ethanol and other biofuels); electricity suppliers (electric distribution utilities (EDUs) and other electricity providers who can claim credits for EV charging at residential, non-residential, and public charging stations); fleet operators  (owners of EV fleets, </w:t>
            </w:r>
            <w:r w:rsidR="00FF483A">
              <w:rPr>
                <w:rFonts w:ascii="Calibri" w:hAnsi="Calibri" w:cs="Calibri"/>
              </w:rPr>
              <w:t>including</w:t>
            </w:r>
            <w:r>
              <w:rPr>
                <w:rFonts w:ascii="Calibri" w:hAnsi="Calibri" w:cs="Calibri"/>
              </w:rPr>
              <w:t xml:space="preserve"> trucks, buses, and forklifts, who can earn credits for charging); </w:t>
            </w:r>
            <w:r w:rsidR="00FF483A">
              <w:rPr>
                <w:rFonts w:ascii="Calibri" w:hAnsi="Calibri" w:cs="Calibri"/>
              </w:rPr>
              <w:t>e</w:t>
            </w:r>
            <w:r>
              <w:rPr>
                <w:rFonts w:ascii="Calibri" w:hAnsi="Calibri" w:cs="Calibri"/>
              </w:rPr>
              <w:t xml:space="preserve">lectric </w:t>
            </w:r>
            <w:r w:rsidR="00FF483A">
              <w:rPr>
                <w:rFonts w:ascii="Calibri" w:hAnsi="Calibri" w:cs="Calibri"/>
              </w:rPr>
              <w:t>v</w:t>
            </w:r>
            <w:r>
              <w:rPr>
                <w:rFonts w:ascii="Calibri" w:hAnsi="Calibri" w:cs="Calibri"/>
              </w:rPr>
              <w:t xml:space="preserve">ehicle </w:t>
            </w:r>
            <w:r w:rsidR="00FF483A">
              <w:rPr>
                <w:rFonts w:ascii="Calibri" w:hAnsi="Calibri" w:cs="Calibri"/>
              </w:rPr>
              <w:t>s</w:t>
            </w:r>
            <w:r>
              <w:rPr>
                <w:rFonts w:ascii="Calibri" w:hAnsi="Calibri" w:cs="Calibri"/>
              </w:rPr>
              <w:t xml:space="preserve">ervice </w:t>
            </w:r>
            <w:r w:rsidR="00FF483A">
              <w:rPr>
                <w:rFonts w:ascii="Calibri" w:hAnsi="Calibri" w:cs="Calibri"/>
              </w:rPr>
              <w:t>p</w:t>
            </w:r>
            <w:r>
              <w:rPr>
                <w:rFonts w:ascii="Calibri" w:hAnsi="Calibri" w:cs="Calibri"/>
              </w:rPr>
              <w:t>roviders (</w:t>
            </w:r>
            <w:proofErr w:type="spellStart"/>
            <w:r>
              <w:rPr>
                <w:rFonts w:ascii="Calibri" w:hAnsi="Calibri" w:cs="Calibri"/>
              </w:rPr>
              <w:t>EVSPs</w:t>
            </w:r>
            <w:proofErr w:type="spellEnd"/>
            <w:r>
              <w:rPr>
                <w:rFonts w:ascii="Calibri" w:hAnsi="Calibri" w:cs="Calibri"/>
              </w:rPr>
              <w:t xml:space="preserve">) (companies providing EV </w:t>
            </w:r>
            <w:r w:rsidR="00FF483A">
              <w:rPr>
                <w:rFonts w:ascii="Calibri" w:hAnsi="Calibri" w:cs="Calibri"/>
              </w:rPr>
              <w:t xml:space="preserve">charging services; and public charging sites (hosts of public charging stations, who can opt-in to claim credits). </w:t>
            </w: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88764E"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2CE60DDC">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FF483A" w14:paraId="3B9810F8" w14:textId="10AE8E5C">
            <w:pPr>
              <w:rPr>
                <w:rFonts w:ascii="Calibri" w:hAnsi="Calibri" w:cs="Calibri"/>
              </w:rPr>
            </w:pPr>
            <w:r>
              <w:rPr>
                <w:rFonts w:ascii="Calibri" w:hAnsi="Calibri" w:cs="Calibri"/>
              </w:rPr>
              <w:t>X</w:t>
            </w: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FF483A" w14:paraId="2D759B5F" w14:textId="1398264F">
            <w:pPr>
              <w:rPr>
                <w:rFonts w:ascii="Calibri" w:hAnsi="Calibri" w:cs="Calibri"/>
              </w:rPr>
            </w:pPr>
            <w:r>
              <w:rPr>
                <w:rFonts w:ascii="Calibri" w:hAnsi="Calibri" w:cs="Calibri"/>
              </w:rPr>
              <w:t>X</w:t>
            </w: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FF483A" w14:paraId="7359F3F8" w14:textId="4F0251BB">
            <w:pPr>
              <w:rPr>
                <w:rFonts w:ascii="Calibri" w:hAnsi="Calibri" w:cs="Calibri"/>
              </w:rPr>
            </w:pPr>
            <w:r>
              <w:rPr>
                <w:rFonts w:ascii="Calibri" w:hAnsi="Calibri" w:cs="Calibri"/>
              </w:rPr>
              <w:t>X</w:t>
            </w: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lastRenderedPageBreak/>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5B43E9" w:rsidR="00CC20AB" w:rsidP="00CF2E7C" w:rsidRDefault="00CC20AB" w14:paraId="3B530C87" w14:textId="77777777">
            <w:pPr>
              <w:rPr>
                <w:rFonts w:ascii="Calibri" w:hAnsi="Calibri" w:cs="Calibri"/>
                <w:b/>
                <w:bCs/>
              </w:rPr>
            </w:pPr>
            <w:r w:rsidRPr="005B43E9">
              <w:rPr>
                <w:rFonts w:ascii="Calibri" w:hAnsi="Calibri" w:cs="Calibri"/>
                <w:b/>
                <w:bCs/>
              </w:rPr>
              <w:t xml:space="preserve">§ 95494. Violations </w:t>
            </w:r>
          </w:p>
          <w:p w:rsidRPr="00CC20AB" w:rsidR="00CC20AB" w:rsidP="00CC20AB" w:rsidRDefault="00CC20AB" w14:paraId="545110F0" w14:textId="63507CFA">
            <w:pPr>
              <w:pStyle w:val="ListParagraph"/>
              <w:numPr>
                <w:ilvl w:val="0"/>
                <w:numId w:val="51"/>
              </w:numPr>
              <w:rPr>
                <w:rFonts w:ascii="Calibri" w:hAnsi="Calibri" w:cs="Calibri"/>
              </w:rPr>
            </w:pPr>
            <w:r w:rsidRPr="00CC20AB">
              <w:rPr>
                <w:rFonts w:ascii="Calibri" w:hAnsi="Calibri" w:cs="Calibri"/>
              </w:rPr>
              <w:t>“</w:t>
            </w:r>
            <w:r w:rsidR="00EC34F9">
              <w:rPr>
                <w:rFonts w:ascii="Calibri" w:hAnsi="Calibri" w:cs="Calibri"/>
              </w:rPr>
              <w:t>CARB</w:t>
            </w:r>
            <w:r w:rsidRPr="00CC20AB">
              <w:rPr>
                <w:rFonts w:ascii="Calibri" w:hAnsi="Calibri" w:cs="Calibri"/>
              </w:rPr>
              <w:t xml:space="preserve"> may seek penalties and injunctive relief for any violation of this sub-article pursuant to Health and Safety Code section 38580 and Chapter 1.5 of Part 5 of Division 26.  Penalties may be assessed for each day of any violation of this sub-article.  Violations shall be subject to all other penalties and remedies permitted under State law.  In determining nay penalty amount, CARB shall consider all relevant circumstances, including the criteria in Health and Safety Code section 43031.  </w:t>
            </w:r>
          </w:p>
          <w:p w:rsidR="00CC20AB" w:rsidP="00CC20AB" w:rsidRDefault="00CC20AB" w14:paraId="386EF1F0" w14:textId="04FA94AB">
            <w:pPr>
              <w:pStyle w:val="ListParagraph"/>
              <w:numPr>
                <w:ilvl w:val="0"/>
                <w:numId w:val="51"/>
              </w:numPr>
              <w:rPr>
                <w:rFonts w:ascii="Calibri" w:hAnsi="Calibri" w:cs="Calibri"/>
              </w:rPr>
            </w:pPr>
            <w:r>
              <w:rPr>
                <w:rFonts w:ascii="Calibri" w:hAnsi="Calibri" w:cs="Calibri"/>
              </w:rPr>
              <w:t xml:space="preserve">Each day or portion thereof that any report required by this </w:t>
            </w:r>
            <w:proofErr w:type="spellStart"/>
            <w:r>
              <w:rPr>
                <w:rFonts w:ascii="Calibri" w:hAnsi="Calibri" w:cs="Calibri"/>
              </w:rPr>
              <w:t>subarticle</w:t>
            </w:r>
            <w:proofErr w:type="spellEnd"/>
            <w:r>
              <w:rPr>
                <w:rFonts w:ascii="Calibri" w:hAnsi="Calibri" w:cs="Calibri"/>
              </w:rPr>
              <w:t xml:space="preserve"> remains unsubmitted, incomplete, or inaccurate constitutes a separate violation.  For purposes of this subsection, “report” means any submittal to the </w:t>
            </w:r>
            <w:r w:rsidR="005B43E9">
              <w:rPr>
                <w:rFonts w:ascii="Calibri" w:hAnsi="Calibri" w:cs="Calibri"/>
              </w:rPr>
              <w:t xml:space="preserve">[CARB] </w:t>
            </w:r>
            <w:r>
              <w:rPr>
                <w:rFonts w:ascii="Calibri" w:hAnsi="Calibri" w:cs="Calibri"/>
              </w:rPr>
              <w:t xml:space="preserve">Executive Officer or made in the LRT-CBTS, including any information submitted in response to an </w:t>
            </w:r>
            <w:r w:rsidR="005B43E9">
              <w:rPr>
                <w:rFonts w:ascii="Calibri" w:hAnsi="Calibri" w:cs="Calibri"/>
              </w:rPr>
              <w:t xml:space="preserve">[CARB] </w:t>
            </w:r>
            <w:r>
              <w:rPr>
                <w:rFonts w:ascii="Calibri" w:hAnsi="Calibri" w:cs="Calibri"/>
              </w:rPr>
              <w:t xml:space="preserve">Executive Officer requested for additional or clarifying information. </w:t>
            </w:r>
          </w:p>
          <w:p w:rsidR="00CC20AB" w:rsidP="00CC20AB" w:rsidRDefault="00CC20AB" w14:paraId="62627A29" w14:textId="3AB955DF">
            <w:pPr>
              <w:pStyle w:val="ListParagraph"/>
              <w:numPr>
                <w:ilvl w:val="0"/>
                <w:numId w:val="51"/>
              </w:numPr>
              <w:rPr>
                <w:rFonts w:ascii="Calibri" w:hAnsi="Calibri" w:cs="Calibri"/>
              </w:rPr>
            </w:pPr>
            <w:r>
              <w:rPr>
                <w:rFonts w:ascii="Calibri" w:hAnsi="Calibri" w:cs="Calibri"/>
              </w:rPr>
              <w:t xml:space="preserve">Each deficit that is not eliminated at the end of a compliance period or carried over as permitted by section 95485 constitutes a separate day of violation subject to a penalty not to exceed $1,000 per deficit. </w:t>
            </w:r>
          </w:p>
          <w:p w:rsidRPr="005B43E9" w:rsidR="00CC20AB" w:rsidP="00CC20AB" w:rsidRDefault="00CC20AB" w14:paraId="30DACA94" w14:textId="474D81A1">
            <w:pPr>
              <w:rPr>
                <w:rFonts w:ascii="Calibri" w:hAnsi="Calibri" w:cs="Calibri"/>
                <w:b/>
                <w:bCs/>
              </w:rPr>
            </w:pPr>
            <w:r w:rsidRPr="005B43E9">
              <w:rPr>
                <w:rFonts w:ascii="Calibri" w:hAnsi="Calibri" w:cs="Calibri"/>
                <w:b/>
                <w:bCs/>
              </w:rPr>
              <w:t xml:space="preserve">§ 95495.  Authority to Suspend, Revoke, Modify, or Invalidate. </w:t>
            </w:r>
          </w:p>
          <w:p w:rsidR="00CC20AB" w:rsidP="00CC20AB" w:rsidRDefault="005B43E9" w14:paraId="66B30F15" w14:textId="52BD567A">
            <w:pPr>
              <w:pStyle w:val="ListParagraph"/>
              <w:numPr>
                <w:ilvl w:val="0"/>
                <w:numId w:val="52"/>
              </w:numPr>
              <w:rPr>
                <w:rFonts w:ascii="Calibri" w:hAnsi="Calibri" w:cs="Calibri"/>
              </w:rPr>
            </w:pPr>
            <w:r>
              <w:rPr>
                <w:rFonts w:ascii="Calibri" w:hAnsi="Calibri" w:cs="Calibri"/>
              </w:rPr>
              <w:t>“</w:t>
            </w:r>
            <w:r w:rsidR="00CC20AB">
              <w:rPr>
                <w:rFonts w:ascii="Calibri" w:hAnsi="Calibri" w:cs="Calibri"/>
              </w:rPr>
              <w:t xml:space="preserve">If the </w:t>
            </w:r>
            <w:r>
              <w:rPr>
                <w:rFonts w:ascii="Calibri" w:hAnsi="Calibri" w:cs="Calibri"/>
              </w:rPr>
              <w:t xml:space="preserve">[CARB] </w:t>
            </w:r>
            <w:r w:rsidR="00CC20AB">
              <w:rPr>
                <w:rFonts w:ascii="Calibri" w:hAnsi="Calibri" w:cs="Calibri"/>
              </w:rPr>
              <w:t>Executive Officer determines that any basis for invalidation set forth in subsection (b)(1) … occurred, in addition to taking any enforcement action, he or she may: suspend, restrict, modify, or revoke an LRT-CBTS account; modify or delete a Certified CI; restrict, suspend, or invalidate credits; or recalculate the deficits in an LRT-CBTS account.  For purposes of this section “Certified CI” includes any determination relating to carbon intensity made pursuant to sections 95488 through 95488.10, or relating to a credit generating activity approved under section 95489.</w:t>
            </w:r>
            <w:r>
              <w:rPr>
                <w:rFonts w:ascii="Calibri" w:hAnsi="Calibri" w:cs="Calibri"/>
              </w:rPr>
              <w:t>”</w:t>
            </w:r>
            <w:r w:rsidR="00CC20AB">
              <w:rPr>
                <w:rFonts w:ascii="Calibri" w:hAnsi="Calibri" w:cs="Calibri"/>
              </w:rPr>
              <w:t xml:space="preserve">  </w:t>
            </w:r>
          </w:p>
          <w:p w:rsidRPr="00CC20AB" w:rsidR="00CC20AB" w:rsidP="005B43E9" w:rsidRDefault="00CC20AB" w14:paraId="7CC5C002" w14:textId="06A0D281">
            <w:pPr>
              <w:rPr>
                <w:rFonts w:ascii="Calibri" w:hAnsi="Calibri" w:cs="Calibri"/>
              </w:rPr>
            </w:pPr>
            <w:r>
              <w:rPr>
                <w:rFonts w:ascii="Calibri" w:hAnsi="Calibri" w:cs="Calibri"/>
              </w:rPr>
              <w:t xml:space="preserve">Section 95495(b) discusses several scenarios in which the </w:t>
            </w:r>
            <w:r w:rsidR="005B43E9">
              <w:rPr>
                <w:rFonts w:ascii="Calibri" w:hAnsi="Calibri" w:cs="Calibri"/>
              </w:rPr>
              <w:t xml:space="preserve">[CARB] </w:t>
            </w:r>
            <w:r>
              <w:rPr>
                <w:rFonts w:ascii="Calibri" w:hAnsi="Calibri" w:cs="Calibri"/>
              </w:rPr>
              <w:t xml:space="preserve">Executive Officer may modify or delete a Certified CI and invalidate credits or recalculate deficits.  </w:t>
            </w: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5B43E9" w14:paraId="0E4B669A" w14:textId="76C57E06">
            <w:pPr>
              <w:rPr>
                <w:rFonts w:ascii="Calibri" w:hAnsi="Calibri" w:cs="Calibri"/>
              </w:rPr>
            </w:pPr>
            <w:r>
              <w:rPr>
                <w:rFonts w:ascii="Calibri" w:hAnsi="Calibri" w:cs="Calibri"/>
              </w:rPr>
              <w:t>X</w:t>
            </w: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00092534" w:rsidP="00CF2E7C" w:rsidRDefault="005B43E9" w14:paraId="56DBE414" w14:textId="77777777">
            <w:pPr>
              <w:rPr>
                <w:rFonts w:ascii="Calibri" w:hAnsi="Calibri" w:cs="Calibri"/>
                <w:lang w:val="en-US"/>
              </w:rPr>
            </w:pPr>
            <w:r>
              <w:rPr>
                <w:rFonts w:ascii="Calibri" w:hAnsi="Calibri" w:cs="Calibri"/>
                <w:lang w:val="en-US"/>
              </w:rPr>
              <w:t>“</w:t>
            </w:r>
            <w:r w:rsidRPr="005B43E9">
              <w:rPr>
                <w:rFonts w:ascii="Calibri" w:hAnsi="Calibri" w:cs="Calibri"/>
                <w:lang w:val="en-US"/>
              </w:rPr>
              <w:t xml:space="preserve">The incentive created by the California program is huge, with credits trading close to the price ceiling of </w:t>
            </w:r>
            <w:proofErr w:type="spellStart"/>
            <w:r w:rsidRPr="005B43E9">
              <w:rPr>
                <w:rFonts w:ascii="Calibri" w:hAnsi="Calibri" w:cs="Calibri"/>
                <w:lang w:val="en-US"/>
              </w:rPr>
              <w:t>US$200</w:t>
            </w:r>
            <w:proofErr w:type="spellEnd"/>
            <w:r w:rsidRPr="005B43E9">
              <w:rPr>
                <w:rFonts w:ascii="Calibri" w:hAnsi="Calibri" w:cs="Calibri"/>
                <w:lang w:val="en-US"/>
              </w:rPr>
              <w:t xml:space="preserve"> per metric ton of carbon dioxide (</w:t>
            </w:r>
            <w:proofErr w:type="spellStart"/>
            <w:r w:rsidRPr="005B43E9">
              <w:rPr>
                <w:rFonts w:ascii="Calibri" w:hAnsi="Calibri" w:cs="Calibri"/>
                <w:lang w:val="en-US"/>
              </w:rPr>
              <w:t>mtCO</w:t>
            </w:r>
            <w:r w:rsidRPr="005B43E9">
              <w:rPr>
                <w:rFonts w:ascii="Calibri" w:hAnsi="Calibri" w:cs="Calibri"/>
                <w:vertAlign w:val="subscript"/>
                <w:lang w:val="en-US"/>
              </w:rPr>
              <w:t>2</w:t>
            </w:r>
            <w:proofErr w:type="spellEnd"/>
            <w:r w:rsidRPr="005B43E9">
              <w:rPr>
                <w:rFonts w:ascii="Calibri" w:hAnsi="Calibri" w:cs="Calibri"/>
                <w:lang w:val="en-US"/>
              </w:rPr>
              <w:t xml:space="preserve">). For a sense of this policy’s market-shifting incentive, the voluntary carbon offset market transacts tons of carbon for less than </w:t>
            </w:r>
            <w:proofErr w:type="spellStart"/>
            <w:r w:rsidRPr="005B43E9">
              <w:rPr>
                <w:rFonts w:ascii="Calibri" w:hAnsi="Calibri" w:cs="Calibri"/>
                <w:lang w:val="en-US"/>
              </w:rPr>
              <w:t>US$5</w:t>
            </w:r>
            <w:proofErr w:type="spellEnd"/>
            <w:r w:rsidRPr="005B43E9">
              <w:rPr>
                <w:rFonts w:ascii="Calibri" w:hAnsi="Calibri" w:cs="Calibri"/>
                <w:lang w:val="en-US"/>
              </w:rPr>
              <w:t>, and the price for California’s Cap-and-Trade credits are currently hovering around $17/</w:t>
            </w:r>
            <w:proofErr w:type="spellStart"/>
            <w:r w:rsidRPr="005B43E9">
              <w:rPr>
                <w:rFonts w:ascii="Calibri" w:hAnsi="Calibri" w:cs="Calibri"/>
                <w:lang w:val="en-US"/>
              </w:rPr>
              <w:t>mtCO2</w:t>
            </w:r>
            <w:proofErr w:type="spellEnd"/>
            <w:r w:rsidRPr="005B43E9">
              <w:rPr>
                <w:rFonts w:ascii="Calibri" w:hAnsi="Calibri" w:cs="Calibri"/>
                <w:lang w:val="en-US"/>
              </w:rPr>
              <w:t xml:space="preserve">. At </w:t>
            </w:r>
            <w:proofErr w:type="spellStart"/>
            <w:r w:rsidRPr="005B43E9">
              <w:rPr>
                <w:rFonts w:ascii="Calibri" w:hAnsi="Calibri" w:cs="Calibri"/>
                <w:lang w:val="en-US"/>
              </w:rPr>
              <w:t>US$200</w:t>
            </w:r>
            <w:proofErr w:type="spellEnd"/>
            <w:r w:rsidRPr="005B43E9">
              <w:rPr>
                <w:rFonts w:ascii="Calibri" w:hAnsi="Calibri" w:cs="Calibri"/>
                <w:lang w:val="en-US"/>
              </w:rPr>
              <w:t xml:space="preserve"> per </w:t>
            </w:r>
            <w:proofErr w:type="spellStart"/>
            <w:r w:rsidRPr="005B43E9">
              <w:rPr>
                <w:rFonts w:ascii="Calibri" w:hAnsi="Calibri" w:cs="Calibri"/>
                <w:lang w:val="en-US"/>
              </w:rPr>
              <w:t>mtCO</w:t>
            </w:r>
            <w:r w:rsidRPr="005B43E9">
              <w:rPr>
                <w:rFonts w:ascii="Calibri" w:hAnsi="Calibri" w:cs="Calibri"/>
                <w:vertAlign w:val="subscript"/>
                <w:lang w:val="en-US"/>
              </w:rPr>
              <w:t>2</w:t>
            </w:r>
            <w:proofErr w:type="spellEnd"/>
            <w:r w:rsidRPr="005B43E9">
              <w:rPr>
                <w:rFonts w:ascii="Calibri" w:hAnsi="Calibri" w:cs="Calibri"/>
                <w:lang w:val="en-US"/>
              </w:rPr>
              <w:t> for an LCFS credit, many lower emission fuel sources, production and refinery process improvements, and advances in CCS technology actually make financial sense to develop for credit generation.</w:t>
            </w:r>
            <w:r>
              <w:rPr>
                <w:rFonts w:ascii="Calibri" w:hAnsi="Calibri" w:cs="Calibri"/>
                <w:lang w:val="en-US"/>
              </w:rPr>
              <w:t>”</w:t>
            </w:r>
          </w:p>
          <w:p w:rsidRPr="005B43E9" w:rsidR="005B43E9" w:rsidP="00CF2E7C" w:rsidRDefault="005B43E9" w14:paraId="4E9BC062" w14:textId="627CB20D">
            <w:pPr>
              <w:rPr>
                <w:rFonts w:ascii="Calibri" w:hAnsi="Calibri" w:cs="Calibri"/>
                <w:lang w:val="en-US"/>
              </w:rPr>
            </w:pPr>
            <w:hyperlink w:history="1" r:id="rId19">
              <w:r w:rsidRPr="00F90F3A">
                <w:rPr>
                  <w:rStyle w:val="Hyperlink"/>
                  <w:rFonts w:ascii="Calibri" w:hAnsi="Calibri" w:cs="Calibri"/>
                  <w:lang w:val="en-US"/>
                </w:rPr>
                <w:t>https://ghginstitute.org/2020/01/22/the-low-carbon-fuel-standard-has-succeeded-but-how-does-it-work/</w:t>
              </w:r>
            </w:hyperlink>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5B43E9" w14:paraId="6C02F5F5" w14:textId="19A4FE5E">
            <w:pPr>
              <w:rPr>
                <w:rFonts w:ascii="Calibri" w:hAnsi="Calibri" w:cs="Calibri"/>
              </w:rPr>
            </w:pPr>
            <w:r>
              <w:rPr>
                <w:rFonts w:ascii="Calibri" w:hAnsi="Calibri" w:cs="Calibri"/>
              </w:rPr>
              <w:t>X</w:t>
            </w: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00092534" w:rsidP="00CF2E7C" w:rsidRDefault="005B43E9" w14:paraId="3215D513" w14:textId="77777777">
            <w:pPr>
              <w:rPr>
                <w:rFonts w:ascii="Calibri" w:hAnsi="Calibri" w:cs="Calibri"/>
              </w:rPr>
            </w:pPr>
            <w:r>
              <w:rPr>
                <w:rFonts w:ascii="Calibri" w:hAnsi="Calibri" w:cs="Calibri"/>
              </w:rPr>
              <w:t xml:space="preserve">Three </w:t>
            </w:r>
            <w:r w:rsidR="009F0271">
              <w:rPr>
                <w:rFonts w:ascii="Calibri" w:hAnsi="Calibri" w:cs="Calibri"/>
              </w:rPr>
              <w:t xml:space="preserve">energy companies agreed to fines totalling $785,000 following investigations by CARB.  All three companies were found to have violated provisions of the Low Carbon Fuel standard (LCFS). </w:t>
            </w:r>
          </w:p>
          <w:p w:rsidR="009F0271" w:rsidP="009F0271" w:rsidRDefault="009F0271" w14:paraId="79234BCE" w14:textId="77777777">
            <w:pPr>
              <w:pStyle w:val="ListParagraph"/>
              <w:numPr>
                <w:ilvl w:val="0"/>
                <w:numId w:val="50"/>
              </w:numPr>
              <w:rPr>
                <w:rFonts w:ascii="Calibri" w:hAnsi="Calibri" w:cs="Calibri"/>
              </w:rPr>
            </w:pPr>
            <w:r>
              <w:rPr>
                <w:rFonts w:ascii="Calibri" w:hAnsi="Calibri" w:cs="Calibri"/>
              </w:rPr>
              <w:t xml:space="preserve">SK Energy Americas agreed to a $395,000 penalty for failure to meet the carbon intensity target for 2014. </w:t>
            </w:r>
          </w:p>
          <w:p w:rsidR="009F0271" w:rsidP="009F0271" w:rsidRDefault="009F0271" w14:paraId="6004A342" w14:textId="77777777">
            <w:pPr>
              <w:pStyle w:val="ListParagraph"/>
              <w:numPr>
                <w:ilvl w:val="0"/>
                <w:numId w:val="50"/>
              </w:numPr>
              <w:rPr>
                <w:rFonts w:ascii="Calibri" w:hAnsi="Calibri" w:cs="Calibri"/>
              </w:rPr>
            </w:pPr>
            <w:r>
              <w:rPr>
                <w:rFonts w:ascii="Calibri" w:hAnsi="Calibri" w:cs="Calibri"/>
              </w:rPr>
              <w:t xml:space="preserve">Alon USA and subsidiary, Paramount Petroleum have agreed to pay a $300,000 civil judgment for failure to accurately report fuel transactions. </w:t>
            </w:r>
          </w:p>
          <w:p w:rsidR="009F0271" w:rsidP="009F0271" w:rsidRDefault="009F0271" w14:paraId="4FE4E9C7" w14:textId="77777777">
            <w:pPr>
              <w:pStyle w:val="ListParagraph"/>
              <w:numPr>
                <w:ilvl w:val="0"/>
                <w:numId w:val="50"/>
              </w:numPr>
              <w:rPr>
                <w:rFonts w:ascii="Calibri" w:hAnsi="Calibri" w:cs="Calibri"/>
              </w:rPr>
            </w:pPr>
            <w:r>
              <w:rPr>
                <w:rFonts w:ascii="Calibri" w:hAnsi="Calibri" w:cs="Calibri"/>
              </w:rPr>
              <w:t xml:space="preserve">Kern Oil &amp; Refining agreed to a penalty of $90,000 and forfeiture of 15,838 LCFS credits for misreporting the type of low carbon fuel it sold (these credits are currently worth nearly two million dollars).  </w:t>
            </w:r>
          </w:p>
          <w:p w:rsidRPr="009F0271" w:rsidR="009F0271" w:rsidP="009F0271" w:rsidRDefault="009F0271" w14:paraId="130CC207" w14:textId="716E4F69">
            <w:pPr>
              <w:rPr>
                <w:rFonts w:ascii="Calibri" w:hAnsi="Calibri" w:cs="Calibri"/>
              </w:rPr>
            </w:pPr>
            <w:hyperlink w:history="1" r:id="rId20">
              <w:r w:rsidRPr="00F90F3A">
                <w:rPr>
                  <w:rStyle w:val="Hyperlink"/>
                  <w:rFonts w:ascii="Calibri" w:hAnsi="Calibri" w:cs="Calibri"/>
                </w:rPr>
                <w:t>https://ww2.arb.ca.gov/news/carb-cracks-down-low-carbon-fuel-standard-violators</w:t>
              </w:r>
            </w:hyperlink>
            <w:r>
              <w:rPr>
                <w:rFonts w:ascii="Calibri" w:hAnsi="Calibri" w:cs="Calibri"/>
              </w:rPr>
              <w:t xml:space="preserve">  </w:t>
            </w: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9F0271" w14:paraId="7E7702A9" w14:textId="2FE95499">
            <w:pPr>
              <w:rPr>
                <w:rFonts w:ascii="Calibri" w:hAnsi="Calibri" w:cs="Calibri"/>
              </w:rPr>
            </w:pPr>
            <w:r>
              <w:rPr>
                <w:rFonts w:ascii="Calibri" w:hAnsi="Calibri" w:cs="Calibri"/>
              </w:rPr>
              <w:t>X</w:t>
            </w: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00092534" w:rsidP="00CF2E7C" w:rsidRDefault="009F0271" w14:paraId="538CC387" w14:textId="0CB5D377">
            <w:pPr>
              <w:rPr>
                <w:rFonts w:ascii="Calibri" w:hAnsi="Calibri" w:cs="Calibri"/>
              </w:rPr>
            </w:pPr>
            <w:r>
              <w:rPr>
                <w:rFonts w:ascii="Calibri" w:hAnsi="Calibri" w:cs="Calibri"/>
              </w:rPr>
              <w:t xml:space="preserve">Both environmental groups and a biofuel trade association are challenging the </w:t>
            </w:r>
            <w:proofErr w:type="spellStart"/>
            <w:r>
              <w:rPr>
                <w:rFonts w:ascii="Calibri" w:hAnsi="Calibri" w:cs="Calibri"/>
              </w:rPr>
              <w:t>CARB’s</w:t>
            </w:r>
            <w:proofErr w:type="spellEnd"/>
            <w:r>
              <w:rPr>
                <w:rFonts w:ascii="Calibri" w:hAnsi="Calibri" w:cs="Calibri"/>
              </w:rPr>
              <w:t xml:space="preserve"> latest November 2024 amendments to the rule.  The environmental groups allege that CARB violated the California Environmental Quality Act (CEQA) in adopting the amendments and certifying the amendments’ final environmental impact analysis (EIA).  The trade association also asserts CEQA claims, as well as violations of the California Administrative Procedures Act, the California Constitution, the US Constitution, and Assembly Bill 32.  </w:t>
            </w:r>
          </w:p>
          <w:p w:rsidRPr="00CF2E7C" w:rsidR="009F0271" w:rsidP="00CF2E7C" w:rsidRDefault="009F0271" w14:paraId="58E21A0D" w14:textId="31E55635">
            <w:pPr>
              <w:rPr>
                <w:rFonts w:ascii="Calibri" w:hAnsi="Calibri" w:cs="Calibri"/>
              </w:rPr>
            </w:pPr>
            <w:hyperlink w:history="1" r:id="rId21">
              <w:r w:rsidRPr="00F90F3A">
                <w:rPr>
                  <w:rStyle w:val="Hyperlink"/>
                  <w:rFonts w:ascii="Calibri" w:hAnsi="Calibri" w:cs="Calibri"/>
                </w:rPr>
                <w:t>https://www.globalelr.com/2025/02/environmental-groups-biofuel-trade-association-challenge-amendments-to-the-california-low-carbon-fuel-standard/</w:t>
              </w:r>
            </w:hyperlink>
            <w:r>
              <w:rPr>
                <w:rFonts w:ascii="Calibri" w:hAnsi="Calibri" w:cs="Calibri"/>
              </w:rPr>
              <w:t xml:space="preserve"> </w:t>
            </w: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377B46" w14:paraId="3518A101" w14:textId="6F1043B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009F0271">
              <w:rPr>
                <w:rFonts w:ascii="Calibri" w:hAnsi="Calibri" w:eastAsia="Times New Roman" w:cs="Calibri"/>
                <w:kern w:val="0"/>
                <w:lang w:eastAsia="en-GB"/>
                <w14:ligatures w14:val="none"/>
              </w:rPr>
              <w:t>X</w:t>
            </w: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377B46" w14:paraId="5840AB8D" w14:textId="4EA839A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009F0271">
              <w:rPr>
                <w:rFonts w:ascii="Calibri" w:hAnsi="Calibri" w:eastAsia="Times New Roman" w:cs="Calibri"/>
                <w:kern w:val="0"/>
                <w:lang w:eastAsia="en-GB"/>
                <w14:ligatures w14:val="none"/>
              </w:rPr>
              <w:t>X</w:t>
            </w: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342133D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377B46">
              <w:rPr>
                <w:rFonts w:ascii="Calibri" w:hAnsi="Calibri" w:eastAsia="Times New Roman" w:cs="Calibri"/>
                <w:kern w:val="0"/>
                <w:lang w:val="en-US" w:eastAsia="en-GB"/>
                <w14:ligatures w14:val="none"/>
              </w:rPr>
              <w:t xml:space="preserve">  </w:t>
            </w:r>
            <w:r w:rsidR="00185EC4">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6FF560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377B46" w14:paraId="1975014D" w14:textId="2E98ECB5">
            <w:pPr>
              <w:textAlignment w:val="baseline"/>
              <w:rPr>
                <w:rFonts w:ascii="Calibri" w:hAnsi="Calibri" w:eastAsia="Times New Roman" w:cs="Calibri"/>
                <w:kern w:val="0"/>
                <w:lang w:val="en-US" w:eastAsia="en-GB"/>
                <w14:ligatures w14:val="none"/>
              </w:rPr>
            </w:pPr>
            <w:r>
              <w:rPr>
                <w:rFonts w:ascii="Calibri" w:hAnsi="Calibri" w:eastAsia="Times New Roman" w:cs="Calibri"/>
                <w:kern w:val="0"/>
                <w:lang w:val="en-US" w:eastAsia="en-GB"/>
                <w14:ligatures w14:val="none"/>
              </w:rPr>
              <w:t xml:space="preserve">  </w:t>
            </w:r>
            <w:r w:rsidR="00185EC4">
              <w:rPr>
                <w:rFonts w:ascii="Calibri" w:hAnsi="Calibri" w:eastAsia="Times New Roman" w:cs="Calibri"/>
                <w:kern w:val="0"/>
                <w:lang w:val="en-US" w:eastAsia="en-GB"/>
                <w14:ligatures w14:val="none"/>
              </w:rPr>
              <w:t>X</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1D6B09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377B46">
              <w:rPr>
                <w:rFonts w:ascii="Calibri" w:hAnsi="Calibri" w:eastAsia="Times New Roman" w:cs="Calibri"/>
                <w:kern w:val="0"/>
                <w:lang w:val="en-US" w:eastAsia="en-GB"/>
                <w14:ligatures w14:val="none"/>
              </w:rPr>
              <w:t xml:space="preserve">  </w:t>
            </w:r>
            <w:r w:rsidR="00185EC4">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377B46" w14:paraId="5A5F3401" w14:textId="780358D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00185EC4">
              <w:rPr>
                <w:rFonts w:ascii="Calibri" w:hAnsi="Calibri" w:eastAsia="Times New Roman" w:cs="Calibri"/>
                <w:kern w:val="0"/>
                <w:lang w:eastAsia="en-GB"/>
                <w14:ligatures w14:val="none"/>
              </w:rPr>
              <w:t>X</w:t>
            </w: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DC181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33138">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00702413" w:rsidP="00CF2E7C" w:rsidRDefault="00702413" w14:paraId="77A132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533138">
              <w:rPr>
                <w:rFonts w:ascii="Calibri" w:hAnsi="Calibri" w:eastAsia="Times New Roman" w:cs="Calibri"/>
                <w:kern w:val="0"/>
                <w:lang w:eastAsia="en-GB"/>
                <w14:ligatures w14:val="none"/>
              </w:rPr>
              <w:t xml:space="preserve">The LCFS creates its own Reporting Tool and Credit Bank &amp; Transfer System (LRT-CBTS).  This system is managed by the CARB and serves as the official platform for fuel transaction reporting; credit generation and retirement; credit transfers and banking; compliance tracking and verification and auditing. </w:t>
            </w:r>
          </w:p>
          <w:p w:rsidR="00533138" w:rsidP="00CF2E7C" w:rsidRDefault="00533138" w14:paraId="4672DB3C" w14:textId="7777777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95483.2(b) – LCFS Reporting Tool and Credit Bank &amp; Transfer System</w:t>
            </w:r>
          </w:p>
          <w:p w:rsidR="00533138" w:rsidP="00CF2E7C" w:rsidRDefault="00533138" w14:paraId="774E2E05" w14:textId="77777777">
            <w:pPr>
              <w:textAlignment w:val="baseline"/>
              <w:rPr>
                <w:rFonts w:ascii="Calibri" w:hAnsi="Calibri" w:eastAsia="Times New Roman" w:cs="Calibri"/>
                <w:kern w:val="0"/>
                <w:lang w:eastAsia="en-GB"/>
                <w14:ligatures w14:val="none"/>
              </w:rPr>
            </w:pPr>
          </w:p>
          <w:p w:rsidRPr="00CF2E7C" w:rsidR="00533138" w:rsidP="00CF2E7C" w:rsidRDefault="00533138" w14:paraId="38C2165D" w14:textId="51CCCAAF">
            <w:pPr>
              <w:textAlignment w:val="baseline"/>
              <w:rPr>
                <w:rFonts w:ascii="Calibri" w:hAnsi="Calibri" w:eastAsia="Times New Roman" w:cs="Calibri"/>
                <w:kern w:val="0"/>
                <w:lang w:eastAsia="en-GB"/>
                <w14:ligatures w14:val="none"/>
              </w:rPr>
            </w:pPr>
            <w:hyperlink w:history="1" r:id="rId22">
              <w:r w:rsidRPr="00F90F3A">
                <w:rPr>
                  <w:rStyle w:val="Hyperlink"/>
                  <w:rFonts w:ascii="Calibri" w:hAnsi="Calibri" w:eastAsia="Times New Roman" w:cs="Calibri"/>
                  <w:kern w:val="0"/>
                  <w:lang w:eastAsia="en-GB"/>
                  <w14:ligatures w14:val="none"/>
                </w:rPr>
                <w:t>https://</w:t>
              </w:r>
              <w:proofErr w:type="spellStart"/>
              <w:r w:rsidRPr="00F90F3A">
                <w:rPr>
                  <w:rStyle w:val="Hyperlink"/>
                  <w:rFonts w:ascii="Calibri" w:hAnsi="Calibri" w:eastAsia="Times New Roman" w:cs="Calibri"/>
                  <w:kern w:val="0"/>
                  <w:lang w:eastAsia="en-GB"/>
                  <w14:ligatures w14:val="none"/>
                </w:rPr>
                <w:t>ssl.arb.ca.gov</w:t>
              </w:r>
              <w:proofErr w:type="spellEnd"/>
              <w:r w:rsidRPr="00F90F3A">
                <w:rPr>
                  <w:rStyle w:val="Hyperlink"/>
                  <w:rFonts w:ascii="Calibri" w:hAnsi="Calibri" w:eastAsia="Times New Roman" w:cs="Calibri"/>
                  <w:kern w:val="0"/>
                  <w:lang w:eastAsia="en-GB"/>
                  <w14:ligatures w14:val="none"/>
                </w:rPr>
                <w:t>/</w:t>
              </w:r>
              <w:proofErr w:type="spellStart"/>
              <w:r w:rsidRPr="00F90F3A">
                <w:rPr>
                  <w:rStyle w:val="Hyperlink"/>
                  <w:rFonts w:ascii="Calibri" w:hAnsi="Calibri" w:eastAsia="Times New Roman" w:cs="Calibri"/>
                  <w:kern w:val="0"/>
                  <w:lang w:eastAsia="en-GB"/>
                  <w14:ligatures w14:val="none"/>
                </w:rPr>
                <w:t>lcfsrt</w:t>
              </w:r>
              <w:proofErr w:type="spellEnd"/>
              <w:r w:rsidRPr="00F90F3A">
                <w:rPr>
                  <w:rStyle w:val="Hyperlink"/>
                  <w:rFonts w:ascii="Calibri" w:hAnsi="Calibri" w:eastAsia="Times New Roman" w:cs="Calibri"/>
                  <w:kern w:val="0"/>
                  <w:lang w:eastAsia="en-GB"/>
                  <w14:ligatures w14:val="none"/>
                </w:rPr>
                <w:t>/</w:t>
              </w:r>
              <w:proofErr w:type="spellStart"/>
              <w:r w:rsidRPr="00F90F3A">
                <w:rPr>
                  <w:rStyle w:val="Hyperlink"/>
                  <w:rFonts w:ascii="Calibri" w:hAnsi="Calibri" w:eastAsia="Times New Roman" w:cs="Calibri"/>
                  <w:kern w:val="0"/>
                  <w:lang w:eastAsia="en-GB"/>
                  <w14:ligatures w14:val="none"/>
                </w:rPr>
                <w:t>Login.aspx</w:t>
              </w:r>
              <w:proofErr w:type="spellEnd"/>
            </w:hyperlink>
            <w:r>
              <w:rPr>
                <w:rFonts w:ascii="Calibri" w:hAnsi="Calibri" w:eastAsia="Times New Roman" w:cs="Calibri"/>
                <w:kern w:val="0"/>
                <w:lang w:eastAsia="en-GB"/>
                <w14:ligatures w14:val="none"/>
              </w:rPr>
              <w:t xml:space="preserve">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77B46" w14:paraId="7EDB69D4" w14:textId="22679F0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006B11E6">
              <w:rPr>
                <w:rFonts w:ascii="Calibri" w:hAnsi="Calibri" w:eastAsia="Times New Roman" w:cs="Calibri"/>
                <w:kern w:val="0"/>
                <w:lang w:eastAsia="en-GB"/>
                <w14:ligatures w14:val="none"/>
              </w:rPr>
              <w:t>X</w:t>
            </w: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6DB62D3C">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3F6828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B11E6">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19EFC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B11E6">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69D0AE0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B11E6">
              <w:rPr>
                <w:rFonts w:ascii="Calibri" w:hAnsi="Calibri" w:eastAsia="Times New Roman" w:cs="Calibri"/>
                <w:kern w:val="0"/>
                <w:lang w:eastAsia="en-GB"/>
                <w14:ligatures w14:val="none"/>
              </w:rPr>
              <w:t xml:space="preserve"> 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67A225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77B46" w14:paraId="5B338EC1" w14:textId="41079D2C">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 xml:space="preserve">  </w:t>
            </w:r>
            <w:r w:rsidR="006B11E6">
              <w:rPr>
                <w:rFonts w:ascii="Calibri" w:hAnsi="Calibri" w:eastAsia="Times New Roman" w:cs="Calibri"/>
                <w:kern w:val="0"/>
                <w:lang w:val="en-US" w:eastAsia="en-GB"/>
                <w14:ligatures w14:val="none"/>
              </w:rPr>
              <w:t>X</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39ED02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77B46" w14:paraId="62114EAC" w14:textId="17D2BDF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006B11E6">
              <w:rPr>
                <w:rFonts w:ascii="Calibri" w:hAnsi="Calibri" w:eastAsia="Times New Roman" w:cs="Calibri"/>
                <w:kern w:val="0"/>
                <w:lang w:eastAsia="en-GB"/>
                <w14:ligatures w14:val="none"/>
              </w:rPr>
              <w:t>X</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43F558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B11E6">
              <w:rPr>
                <w:rFonts w:ascii="Calibri" w:hAnsi="Calibri" w:eastAsia="Times New Roman" w:cs="Calibri"/>
                <w:kern w:val="0"/>
                <w:lang w:eastAsia="en-GB"/>
                <w14:ligatures w14:val="none"/>
              </w:rPr>
              <w:t>X</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00343937" w:rsidP="00CF2E7C" w:rsidRDefault="006B11E6" w14:paraId="4BD79AD5" w14:textId="61204B3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Section 95491: (Reporting Requirements) This section details the information that regulated entities must report to CARB regarding their transportation fuel transactions, including credit generation and transfers. </w:t>
            </w:r>
          </w:p>
          <w:p w:rsidR="006B11E6" w:rsidP="00CF2E7C" w:rsidRDefault="006B11E6" w14:paraId="3E31D549" w14:textId="77777777">
            <w:pPr>
              <w:textAlignment w:val="baseline"/>
              <w:rPr>
                <w:rFonts w:ascii="Calibri" w:hAnsi="Calibri" w:eastAsia="Times New Roman" w:cs="Calibri"/>
                <w:kern w:val="0"/>
                <w:lang w:eastAsia="en-GB"/>
                <w14:ligatures w14:val="none"/>
              </w:rPr>
            </w:pPr>
          </w:p>
          <w:p w:rsidR="006B11E6" w:rsidP="00CF2E7C" w:rsidRDefault="006B11E6" w14:paraId="635B3F6C" w14:textId="0753BBC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Section 95491.1 (Recordkeeping Requirements)  This section specifies the types of records that regulated entities must maintain to support their reported information and ensure accurate accounting of credits.  </w:t>
            </w:r>
          </w:p>
          <w:p w:rsidRPr="00CF2E7C" w:rsidR="006B11E6" w:rsidP="00CF2E7C" w:rsidRDefault="006B11E6" w14:paraId="4878BF58" w14:textId="2B8CD3C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These sections of the program are implemented through the LCFS Data Management System (which includes the LCFS Reporting Tool and the Credit Bank and Transfer System), ensure that the generation and transfer of LCFS credits are recorded and available for oversight and public review, according to the CARB.  This helps maintain the integrity and transparency of the LCFS credit market. </w:t>
            </w: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4C13E2FE">
            <w:pPr>
              <w:textAlignment w:val="baseline"/>
              <w:rPr>
                <w:rFonts w:ascii="Calibri" w:hAnsi="Calibri" w:eastAsia="Times New Roman" w:cs="Calibri"/>
                <w:kern w:val="0"/>
                <w:lang w:eastAsia="en-GB"/>
                <w14:ligatures w14:val="none"/>
              </w:rPr>
            </w:pP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31F7FD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9D0A5E">
              <w:rPr>
                <w:rFonts w:ascii="Calibri" w:hAnsi="Calibri" w:eastAsia="Times New Roman" w:cs="Calibri"/>
                <w:kern w:val="0"/>
                <w:lang w:eastAsia="en-GB"/>
                <w14:ligatures w14:val="none"/>
              </w:rPr>
              <w:t>X</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77B46" w14:paraId="32B53269" w14:textId="33FE90CB">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 xml:space="preserve">  </w:t>
            </w:r>
            <w:r w:rsidR="009D0A5E">
              <w:rPr>
                <w:rFonts w:ascii="Calibri" w:hAnsi="Calibri" w:eastAsia="Times New Roman" w:cs="Calibri"/>
                <w:kern w:val="0"/>
                <w:lang w:val="en-US" w:eastAsia="en-GB"/>
                <w14:ligatures w14:val="none"/>
              </w:rPr>
              <w:t>X</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3BC7B7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9D0A5E">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D406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458935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9D0A5E">
              <w:rPr>
                <w:rFonts w:ascii="Calibri" w:hAnsi="Calibri" w:eastAsia="Times New Roman" w:cs="Calibri"/>
                <w:kern w:val="0"/>
                <w:lang w:eastAsia="en-GB"/>
                <w14:ligatures w14:val="none"/>
              </w:rPr>
              <w:t>X</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00343937" w:rsidP="00CF2E7C" w:rsidRDefault="009D0A5E" w14:paraId="56F16924" w14:textId="4E60563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95491(d)(3)(A):  The policy tools dictates how the financial revenues raised from the generation and/or trade of carbon credits can be used in some cases, particularly for electric distribution utilities (EDUs) generating credits from electric vehicle (EV) charging.  EDUs opting into the LCFS program are required to use their credit proceed to benefit current or future EV customers, but have some flexibility in how these funds are spent, including: </w:t>
            </w:r>
          </w:p>
          <w:p w:rsidR="009D0A5E" w:rsidP="009D0A5E" w:rsidRDefault="009D0A5E" w14:paraId="17015FDC" w14:textId="2CA2CAA4">
            <w:pPr>
              <w:pStyle w:val="ListParagraph"/>
              <w:numPr>
                <w:ilvl w:val="0"/>
                <w:numId w:val="50"/>
              </w:num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Offsetting costs of EV purchases and maintenance; </w:t>
            </w:r>
          </w:p>
          <w:p w:rsidR="009D0A5E" w:rsidP="009D0A5E" w:rsidRDefault="009D0A5E" w14:paraId="4F52D331" w14:textId="77777777">
            <w:pPr>
              <w:pStyle w:val="ListParagraph"/>
              <w:numPr>
                <w:ilvl w:val="0"/>
                <w:numId w:val="50"/>
              </w:num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Purchasing and maintaining charging infrastructure; </w:t>
            </w:r>
          </w:p>
          <w:p w:rsidR="009D0A5E" w:rsidP="009D0A5E" w:rsidRDefault="009D0A5E" w14:paraId="28F33C4C" w14:textId="77777777">
            <w:pPr>
              <w:pStyle w:val="ListParagraph"/>
              <w:numPr>
                <w:ilvl w:val="0"/>
                <w:numId w:val="50"/>
              </w:num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Covering electricity costs; </w:t>
            </w:r>
          </w:p>
          <w:p w:rsidR="009D0A5E" w:rsidP="009D0A5E" w:rsidRDefault="009D0A5E" w14:paraId="4A2B9539" w14:textId="77777777">
            <w:pPr>
              <w:pStyle w:val="ListParagraph"/>
              <w:numPr>
                <w:ilvl w:val="0"/>
                <w:numId w:val="50"/>
              </w:num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Funding marketing and education on the benefits of electric transportation; </w:t>
            </w:r>
          </w:p>
          <w:p w:rsidR="009D0A5E" w:rsidP="009D0A5E" w:rsidRDefault="009D0A5E" w14:paraId="4AC12101" w14:textId="77777777">
            <w:pPr>
              <w:pStyle w:val="ListParagraph"/>
              <w:numPr>
                <w:ilvl w:val="0"/>
                <w:numId w:val="50"/>
              </w:num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Earmarking funds for future vehicle electrification efforts. </w:t>
            </w:r>
          </w:p>
          <w:p w:rsidRPr="009D0A5E" w:rsidR="009D0A5E" w:rsidP="009D0A5E" w:rsidRDefault="009D0A5E" w14:paraId="40CFF5A4" w14:textId="3525193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For other credit-generating entities, such as producers of low-carbon fuels other than electricity, the revenues from credit sales are considered an incentive to participate in the LCFS and develop more low-carbon fuels, however, the LCFS doesn’t generally mandate specific uses for their revenue outside the context of electric utilities.  </w:t>
            </w: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0D35EB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377B46" w14:paraId="664FE2D4" w14:textId="320F4E9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00366128">
              <w:rPr>
                <w:rFonts w:ascii="Calibri" w:hAnsi="Calibri" w:eastAsia="Times New Roman" w:cs="Calibri"/>
                <w:kern w:val="0"/>
                <w:lang w:eastAsia="en-GB"/>
                <w14:ligatures w14:val="none"/>
              </w:rPr>
              <w:t>X</w:t>
            </w: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366128" w:rsidR="00366128" w:rsidP="00366128" w:rsidRDefault="00366128" w14:paraId="1DFA9CEC" w14:textId="21D764C1">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143B4B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66128">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04EA30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77B46">
              <w:rPr>
                <w:rFonts w:ascii="Calibri" w:hAnsi="Calibri" w:eastAsia="Times New Roman" w:cs="Calibri"/>
                <w:kern w:val="0"/>
                <w:lang w:eastAsia="en-GB"/>
                <w14:ligatures w14:val="none"/>
              </w:rPr>
              <w:t>X</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27640E1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77B46">
              <w:rPr>
                <w:rFonts w:ascii="Calibri" w:hAnsi="Calibri" w:eastAsia="Times New Roman" w:cs="Calibri"/>
                <w:kern w:val="0"/>
                <w:lang w:eastAsia="en-GB"/>
                <w14:ligatures w14:val="none"/>
              </w:rPr>
              <w:t>X</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506419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77B46">
              <w:rPr>
                <w:rFonts w:ascii="Calibri" w:hAnsi="Calibri" w:eastAsia="Times New Roman" w:cs="Calibri"/>
                <w:kern w:val="0"/>
                <w:lang w:eastAsia="en-GB"/>
                <w14:ligatures w14:val="none"/>
              </w:rPr>
              <w:t xml:space="preserve"> X</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03BD80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77B46">
              <w:rPr>
                <w:rFonts w:ascii="Calibri" w:hAnsi="Calibri" w:eastAsia="Times New Roman" w:cs="Calibri"/>
                <w:kern w:val="0"/>
                <w:lang w:eastAsia="en-GB"/>
                <w14:ligatures w14:val="none"/>
              </w:rPr>
              <w:t>X</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17FFEE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77B46">
              <w:rPr>
                <w:rFonts w:ascii="Calibri" w:hAnsi="Calibri" w:eastAsia="Times New Roman" w:cs="Calibri"/>
                <w:kern w:val="0"/>
                <w:lang w:eastAsia="en-GB"/>
                <w14:ligatures w14:val="none"/>
              </w:rPr>
              <w:t>X</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507B23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77B46">
              <w:rPr>
                <w:rFonts w:ascii="Calibri" w:hAnsi="Calibri" w:eastAsia="Times New Roman" w:cs="Calibri"/>
                <w:kern w:val="0"/>
                <w:lang w:eastAsia="en-GB"/>
                <w14:ligatures w14:val="none"/>
              </w:rPr>
              <w:t>X</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1F0D94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77B46">
              <w:rPr>
                <w:rFonts w:ascii="Calibri" w:hAnsi="Calibri" w:eastAsia="Times New Roman" w:cs="Calibri"/>
                <w:kern w:val="0"/>
                <w:lang w:eastAsia="en-GB"/>
                <w14:ligatures w14:val="none"/>
              </w:rPr>
              <w:t>X</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08A22B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00377B46">
              <w:rPr>
                <w:rFonts w:ascii="Calibri" w:hAnsi="Calibri" w:eastAsia="Times New Roman" w:cs="Calibri"/>
                <w:kern w:val="0"/>
                <w:lang w:val="en-US" w:eastAsia="en-GB"/>
                <w14:ligatures w14:val="none"/>
              </w:rPr>
              <w:t xml:space="preserve"> </w:t>
            </w:r>
            <w:r w:rsidRPr="00CF2E7C">
              <w:rPr>
                <w:rFonts w:ascii="Calibri" w:hAnsi="Calibri" w:eastAsia="Times New Roman" w:cs="Calibri"/>
                <w:kern w:val="0"/>
                <w:lang w:eastAsia="en-GB"/>
                <w14:ligatures w14:val="none"/>
              </w:rPr>
              <w:t> </w:t>
            </w:r>
            <w:r w:rsidR="00377B46">
              <w:rPr>
                <w:rFonts w:ascii="Calibri" w:hAnsi="Calibri" w:eastAsia="Times New Roman" w:cs="Calibri"/>
                <w:kern w:val="0"/>
                <w:lang w:eastAsia="en-GB"/>
                <w14:ligatures w14:val="none"/>
              </w:rPr>
              <w:t>X</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461758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77B46">
              <w:rPr>
                <w:rFonts w:ascii="Calibri" w:hAnsi="Calibri" w:eastAsia="Times New Roman" w:cs="Calibri"/>
                <w:kern w:val="0"/>
                <w:lang w:eastAsia="en-GB"/>
                <w14:ligatures w14:val="none"/>
              </w:rPr>
              <w:t>X</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2D6D99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366128">
              <w:rPr>
                <w:rFonts w:ascii="Calibri" w:hAnsi="Calibri" w:eastAsia="Times New Roman" w:cs="Calibri"/>
                <w:kern w:val="0"/>
                <w:lang w:eastAsia="en-GB"/>
                <w14:ligatures w14:val="none"/>
              </w:rPr>
              <w:t>X</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00366128" w:rsidP="00366128" w:rsidRDefault="00047A9C" w14:paraId="181B779E" w14:textId="00F761BF">
            <w:pPr>
              <w:textAlignment w:val="baseline"/>
              <w:rPr>
                <w:rFonts w:ascii="Calibri" w:hAnsi="Calibri" w:eastAsia="Times New Roman" w:cs="Calibri"/>
                <w:kern w:val="0"/>
                <w:lang w:val="en-US" w:eastAsia="en-GB"/>
                <w14:ligatures w14:val="none"/>
              </w:rPr>
            </w:pPr>
            <w:r w:rsidRPr="00366128">
              <w:rPr>
                <w:rFonts w:ascii="Calibri" w:hAnsi="Calibri" w:eastAsia="Times New Roman" w:cs="Calibri"/>
                <w:b/>
                <w:bCs/>
                <w:kern w:val="0"/>
                <w:lang w:eastAsia="en-GB"/>
                <w14:ligatures w14:val="none"/>
              </w:rPr>
              <w:t> </w:t>
            </w:r>
            <w:r w:rsidRPr="00366128" w:rsidR="00366128">
              <w:rPr>
                <w:rFonts w:ascii="Calibri" w:hAnsi="Calibri" w:eastAsia="Times New Roman" w:cs="Calibri"/>
                <w:kern w:val="0"/>
                <w:lang w:val="en-US" w:eastAsia="en-GB"/>
                <w14:ligatures w14:val="none"/>
              </w:rPr>
              <w:t>Yes, LCFS regulation sets clear requirements for the third-party certification (validation and verification) of carbon credits. These requirements are primarily outlined in Section §95500 through §95503, with specific operational mandates referenced in §95491.2(d).</w:t>
            </w:r>
          </w:p>
          <w:p w:rsidR="00366128" w:rsidP="00366128" w:rsidRDefault="00366128" w14:paraId="350B8C09" w14:textId="7F8370F9">
            <w:pPr>
              <w:textAlignment w:val="baseline"/>
              <w:rPr>
                <w:rFonts w:ascii="Calibri" w:hAnsi="Calibri" w:eastAsia="Times New Roman" w:cs="Calibri"/>
                <w:kern w:val="0"/>
                <w:lang w:val="en-US" w:eastAsia="en-GB"/>
                <w14:ligatures w14:val="none"/>
              </w:rPr>
            </w:pPr>
            <w:r w:rsidRPr="00366128">
              <w:rPr>
                <w:rFonts w:ascii="Calibri" w:hAnsi="Calibri" w:eastAsia="Times New Roman" w:cs="Calibri"/>
                <w:b/>
                <w:bCs/>
                <w:kern w:val="0"/>
                <w:lang w:val="en-US" w:eastAsia="en-GB"/>
                <w14:ligatures w14:val="none"/>
              </w:rPr>
              <w:t>Mandatory Third-Party Verification (§ 95491.2(d)):</w:t>
            </w:r>
            <w:r>
              <w:rPr>
                <w:rFonts w:ascii="Calibri" w:hAnsi="Calibri" w:eastAsia="Times New Roman" w:cs="Calibri"/>
                <w:kern w:val="0"/>
                <w:lang w:val="en-US" w:eastAsia="en-GB"/>
                <w14:ligatures w14:val="none"/>
              </w:rPr>
              <w:t xml:space="preserve"> </w:t>
            </w:r>
            <w:r w:rsidRPr="00366128">
              <w:rPr>
                <w:rFonts w:ascii="Calibri" w:hAnsi="Calibri" w:eastAsia="Times New Roman" w:cs="Calibri"/>
                <w:kern w:val="0"/>
                <w:lang w:val="en-US" w:eastAsia="en-GB"/>
                <w14:ligatures w14:val="none"/>
              </w:rPr>
              <w:t xml:space="preserve">“Each entity responsible for obtaining a validation or verification statement under this </w:t>
            </w:r>
            <w:proofErr w:type="spellStart"/>
            <w:r w:rsidRPr="00366128">
              <w:rPr>
                <w:rFonts w:ascii="Calibri" w:hAnsi="Calibri" w:eastAsia="Times New Roman" w:cs="Calibri"/>
                <w:kern w:val="0"/>
                <w:lang w:val="en-US" w:eastAsia="en-GB"/>
                <w14:ligatures w14:val="none"/>
              </w:rPr>
              <w:t>subarticle</w:t>
            </w:r>
            <w:proofErr w:type="spellEnd"/>
            <w:r w:rsidRPr="00366128">
              <w:rPr>
                <w:rFonts w:ascii="Calibri" w:hAnsi="Calibri" w:eastAsia="Times New Roman" w:cs="Calibri"/>
                <w:kern w:val="0"/>
                <w:lang w:val="en-US" w:eastAsia="en-GB"/>
                <w14:ligatures w14:val="none"/>
              </w:rPr>
              <w:t xml:space="preserve"> must obtain third-party verification services from a verification body that meets the requirements specified in section 95502.”</w:t>
            </w:r>
          </w:p>
          <w:p w:rsidR="00366128" w:rsidP="00366128" w:rsidRDefault="00366128" w14:paraId="297B6463" w14:textId="43BA8C38">
            <w:pPr>
              <w:textAlignment w:val="baseline"/>
              <w:rPr>
                <w:rFonts w:ascii="Calibri" w:hAnsi="Calibri" w:eastAsia="Times New Roman" w:cs="Calibri"/>
                <w:kern w:val="0"/>
                <w:lang w:val="en-US" w:eastAsia="en-GB"/>
                <w14:ligatures w14:val="none"/>
              </w:rPr>
            </w:pPr>
            <w:r>
              <w:rPr>
                <w:rFonts w:ascii="Calibri" w:hAnsi="Calibri" w:eastAsia="Times New Roman" w:cs="Calibri"/>
                <w:b/>
                <w:bCs/>
                <w:kern w:val="0"/>
                <w:lang w:val="en-US" w:eastAsia="en-GB"/>
                <w14:ligatures w14:val="none"/>
              </w:rPr>
              <w:t>Verification Timeline:</w:t>
            </w:r>
          </w:p>
          <w:p w:rsidRPr="00366128" w:rsidR="00366128" w:rsidP="00366128" w:rsidRDefault="00366128" w14:paraId="3CEF616C" w14:textId="77777777">
            <w:pPr>
              <w:numPr>
                <w:ilvl w:val="0"/>
                <w:numId w:val="53"/>
              </w:numPr>
              <w:textAlignment w:val="baseline"/>
              <w:rPr>
                <w:rFonts w:ascii="Calibri" w:hAnsi="Calibri" w:eastAsia="Times New Roman" w:cs="Calibri"/>
                <w:kern w:val="0"/>
                <w:lang w:val="en-US" w:eastAsia="en-GB"/>
                <w14:ligatures w14:val="none"/>
              </w:rPr>
            </w:pPr>
            <w:r w:rsidRPr="00366128">
              <w:rPr>
                <w:rFonts w:ascii="Calibri" w:hAnsi="Calibri" w:eastAsia="Times New Roman" w:cs="Calibri"/>
                <w:kern w:val="0"/>
                <w:lang w:val="en-US" w:eastAsia="en-GB"/>
                <w14:ligatures w14:val="none"/>
              </w:rPr>
              <w:t>A positive or qualified positive verification statement must be submitted to the Executive Officer by August 31 for the previous calendar year.</w:t>
            </w:r>
          </w:p>
          <w:p w:rsidR="00366128" w:rsidP="00366128" w:rsidRDefault="00366128" w14:paraId="7CD4C20F" w14:textId="37E08F8A">
            <w:pPr>
              <w:numPr>
                <w:ilvl w:val="0"/>
                <w:numId w:val="53"/>
              </w:numPr>
              <w:textAlignment w:val="baseline"/>
              <w:rPr>
                <w:rFonts w:ascii="Calibri" w:hAnsi="Calibri" w:eastAsia="Times New Roman" w:cs="Calibri"/>
                <w:kern w:val="0"/>
                <w:lang w:val="en-US" w:eastAsia="en-GB"/>
                <w14:ligatures w14:val="none"/>
              </w:rPr>
            </w:pPr>
            <w:r w:rsidRPr="00366128">
              <w:rPr>
                <w:rFonts w:ascii="Calibri" w:hAnsi="Calibri" w:eastAsia="Times New Roman" w:cs="Calibri"/>
                <w:kern w:val="0"/>
                <w:lang w:val="en-US" w:eastAsia="en-GB"/>
                <w14:ligatures w14:val="none"/>
              </w:rPr>
              <w:t>Failure to submit or submission of an adverse verification statement may trigger Executive Officer investigation and enforcement action.</w:t>
            </w:r>
          </w:p>
          <w:p w:rsidR="00366128" w:rsidP="00366128" w:rsidRDefault="00366128" w14:paraId="09BF96C3" w14:textId="233C9E65">
            <w:pPr>
              <w:textAlignment w:val="baseline"/>
              <w:rPr>
                <w:rFonts w:ascii="Calibri" w:hAnsi="Calibri" w:eastAsia="Times New Roman" w:cs="Calibri"/>
                <w:kern w:val="0"/>
                <w:lang w:val="en-US" w:eastAsia="en-GB"/>
                <w14:ligatures w14:val="none"/>
              </w:rPr>
            </w:pPr>
            <w:r>
              <w:rPr>
                <w:rFonts w:ascii="Calibri" w:hAnsi="Calibri" w:eastAsia="Times New Roman" w:cs="Calibri"/>
                <w:b/>
                <w:bCs/>
                <w:kern w:val="0"/>
                <w:lang w:val="en-US" w:eastAsia="en-GB"/>
                <w14:ligatures w14:val="none"/>
              </w:rPr>
              <w:t xml:space="preserve">Verification Body Requirements:  </w:t>
            </w:r>
            <w:r>
              <w:rPr>
                <w:rFonts w:ascii="Calibri" w:hAnsi="Calibri" w:eastAsia="Times New Roman" w:cs="Calibri"/>
                <w:kern w:val="0"/>
                <w:lang w:val="en-US" w:eastAsia="en-GB"/>
                <w14:ligatures w14:val="none"/>
              </w:rPr>
              <w:t xml:space="preserve">§ 95502 (referenced in § 95491.2(d)) outlines: </w:t>
            </w:r>
          </w:p>
          <w:p w:rsidR="00366128" w:rsidP="00366128" w:rsidRDefault="00366128" w14:paraId="68A150B2" w14:textId="4029F6F9">
            <w:pPr>
              <w:pStyle w:val="ListParagraph"/>
              <w:numPr>
                <w:ilvl w:val="0"/>
                <w:numId w:val="53"/>
              </w:numPr>
              <w:textAlignment w:val="baseline"/>
              <w:rPr>
                <w:rFonts w:ascii="Calibri" w:hAnsi="Calibri" w:eastAsia="Times New Roman" w:cs="Calibri"/>
                <w:kern w:val="0"/>
                <w:lang w:val="en-US" w:eastAsia="en-GB"/>
                <w14:ligatures w14:val="none"/>
              </w:rPr>
            </w:pPr>
            <w:r>
              <w:rPr>
                <w:rFonts w:ascii="Calibri" w:hAnsi="Calibri" w:eastAsia="Times New Roman" w:cs="Calibri"/>
                <w:kern w:val="0"/>
                <w:lang w:val="en-US" w:eastAsia="en-GB"/>
                <w14:ligatures w14:val="none"/>
              </w:rPr>
              <w:t xml:space="preserve">Accreditation standards for verification bodies, lead verifies, and verifiers. </w:t>
            </w:r>
          </w:p>
          <w:p w:rsidR="00366128" w:rsidP="00366128" w:rsidRDefault="00366128" w14:paraId="50FE813C" w14:textId="7E8D7507">
            <w:pPr>
              <w:pStyle w:val="ListParagraph"/>
              <w:numPr>
                <w:ilvl w:val="0"/>
                <w:numId w:val="53"/>
              </w:numPr>
              <w:textAlignment w:val="baseline"/>
              <w:rPr>
                <w:rFonts w:ascii="Calibri" w:hAnsi="Calibri" w:eastAsia="Times New Roman" w:cs="Calibri"/>
                <w:kern w:val="0"/>
                <w:lang w:val="en-US" w:eastAsia="en-GB"/>
                <w14:ligatures w14:val="none"/>
              </w:rPr>
            </w:pPr>
            <w:r>
              <w:rPr>
                <w:rFonts w:ascii="Calibri" w:hAnsi="Calibri" w:eastAsia="Times New Roman" w:cs="Calibri"/>
                <w:kern w:val="0"/>
                <w:lang w:val="en-US" w:eastAsia="en-GB"/>
                <w14:ligatures w14:val="none"/>
              </w:rPr>
              <w:t>Conflict of interest rules.</w:t>
            </w:r>
          </w:p>
          <w:p w:rsidR="00366128" w:rsidP="00366128" w:rsidRDefault="00366128" w14:paraId="1CE80547" w14:textId="177EC8E0">
            <w:pPr>
              <w:pStyle w:val="ListParagraph"/>
              <w:numPr>
                <w:ilvl w:val="0"/>
                <w:numId w:val="53"/>
              </w:numPr>
              <w:textAlignment w:val="baseline"/>
              <w:rPr>
                <w:rFonts w:ascii="Calibri" w:hAnsi="Calibri" w:eastAsia="Times New Roman" w:cs="Calibri"/>
                <w:kern w:val="0"/>
                <w:lang w:val="en-US" w:eastAsia="en-GB"/>
                <w14:ligatures w14:val="none"/>
              </w:rPr>
            </w:pPr>
            <w:r>
              <w:rPr>
                <w:rFonts w:ascii="Calibri" w:hAnsi="Calibri" w:eastAsia="Times New Roman" w:cs="Calibri"/>
                <w:kern w:val="0"/>
                <w:lang w:val="en-US" w:eastAsia="en-GB"/>
                <w14:ligatures w14:val="none"/>
              </w:rPr>
              <w:t xml:space="preserve">Competency and independence criteria. </w:t>
            </w:r>
          </w:p>
          <w:p w:rsidRPr="00366128" w:rsidR="00047A9C" w:rsidP="00CF2E7C" w:rsidRDefault="00366128" w14:paraId="05FDFDA2" w14:textId="0D61FB66">
            <w:pPr>
              <w:textAlignment w:val="baseline"/>
              <w:rPr>
                <w:rFonts w:ascii="Calibri" w:hAnsi="Calibri" w:eastAsia="Times New Roman" w:cs="Calibri"/>
                <w:kern w:val="0"/>
                <w:lang w:val="en-US" w:eastAsia="en-GB"/>
                <w14:ligatures w14:val="none"/>
              </w:rPr>
            </w:pPr>
            <w:r>
              <w:rPr>
                <w:rFonts w:ascii="Calibri" w:hAnsi="Calibri" w:eastAsia="Times New Roman" w:cs="Calibri"/>
                <w:kern w:val="0"/>
                <w:lang w:val="en-US" w:eastAsia="en-GB"/>
                <w14:ligatures w14:val="none"/>
              </w:rPr>
              <w:t xml:space="preserve">Verification bodies must be independent and accredited by CARB.  Entities cannot use credits for other programs (e.g. Verra, Gold Standard, etc.) unless explicitly allowed.  Verification includes site visits, data checks, and document reviews.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685C07"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53016A14" w14:textId="57D00673">
            <w:pPr>
              <w:textAlignment w:val="baseline"/>
              <w:rPr>
                <w:rFonts w:ascii="Calibri" w:hAnsi="Calibri" w:eastAsia="Times New Roman" w:cs="Calibri"/>
                <w:kern w:val="0"/>
                <w:lang w:eastAsia="en-GB"/>
                <w14:ligatures w14:val="none"/>
              </w:rPr>
            </w:pP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784F5542" w14:textId="07CCD33A">
            <w:pPr>
              <w:textAlignment w:val="baseline"/>
              <w:rPr>
                <w:rFonts w:ascii="Calibri" w:hAnsi="Calibri" w:eastAsia="Times New Roman" w:cs="Calibri"/>
                <w:kern w:val="0"/>
                <w:lang w:eastAsia="en-GB"/>
                <w14:ligatures w14:val="none"/>
              </w:rPr>
            </w:pP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685C07" w14:paraId="1686B692" w14:textId="1F683C5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X</w:t>
            </w:r>
          </w:p>
        </w:tc>
      </w:tr>
      <w:tr w:rsidRPr="009C4D10" w:rsidR="00047A9C" w:rsidTr="00685C07"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3DECBE4C" w14:textId="4A61878C">
            <w:pPr>
              <w:textAlignment w:val="baseline"/>
              <w:rPr>
                <w:rFonts w:ascii="Calibri" w:hAnsi="Calibri" w:eastAsia="Times New Roman" w:cs="Calibri"/>
                <w:kern w:val="0"/>
                <w:lang w:eastAsia="en-GB"/>
                <w14:ligatures w14:val="none"/>
              </w:rPr>
            </w:pP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3E4D51D6" w14:textId="6F73D93A">
            <w:pPr>
              <w:textAlignment w:val="baseline"/>
              <w:rPr>
                <w:rFonts w:ascii="Calibri" w:hAnsi="Calibri" w:eastAsia="Times New Roman" w:cs="Calibri"/>
                <w:kern w:val="0"/>
                <w:lang w:eastAsia="en-GB"/>
                <w14:ligatures w14:val="none"/>
              </w:rPr>
            </w:pP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685C07" w14:paraId="37494B9F" w14:textId="5E3477F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X</w:t>
            </w:r>
          </w:p>
        </w:tc>
      </w:tr>
      <w:tr w:rsidRPr="009C4D10" w:rsidR="00047A9C" w:rsidTr="00685C07"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20480882" w14:textId="26BEDE6B">
            <w:pPr>
              <w:textAlignment w:val="baseline"/>
              <w:rPr>
                <w:rFonts w:ascii="Calibri" w:hAnsi="Calibri" w:eastAsia="Times New Roman" w:cs="Calibri"/>
                <w:kern w:val="0"/>
                <w:lang w:eastAsia="en-GB"/>
                <w14:ligatures w14:val="none"/>
              </w:rPr>
            </w:pP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067B2C23" w14:textId="1B6FAFFB">
            <w:pPr>
              <w:textAlignment w:val="baseline"/>
              <w:rPr>
                <w:rFonts w:ascii="Calibri" w:hAnsi="Calibri" w:eastAsia="Times New Roman" w:cs="Calibri"/>
                <w:kern w:val="0"/>
                <w:lang w:eastAsia="en-GB"/>
                <w14:ligatures w14:val="none"/>
              </w:rPr>
            </w:pP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685C07" w14:paraId="3E58E413" w14:textId="5D0DCE7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X</w:t>
            </w:r>
          </w:p>
        </w:tc>
      </w:tr>
      <w:tr w:rsidRPr="009C4D10" w:rsidR="00047A9C" w:rsidTr="00685C07"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4692E8F6" w14:textId="6330C7B5">
            <w:pPr>
              <w:textAlignment w:val="baseline"/>
              <w:rPr>
                <w:rFonts w:ascii="Calibri" w:hAnsi="Calibri" w:eastAsia="Times New Roman" w:cs="Calibri"/>
                <w:kern w:val="0"/>
                <w:lang w:eastAsia="en-GB"/>
                <w14:ligatures w14:val="none"/>
              </w:rPr>
            </w:pP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0D000BDF" w14:textId="309F1D38">
            <w:pPr>
              <w:textAlignment w:val="baseline"/>
              <w:rPr>
                <w:rFonts w:ascii="Calibri" w:hAnsi="Calibri" w:eastAsia="Times New Roman" w:cs="Calibri"/>
                <w:kern w:val="0"/>
                <w:lang w:eastAsia="en-GB"/>
                <w14:ligatures w14:val="none"/>
              </w:rPr>
            </w:pP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685C07" w14:paraId="55D43012" w14:textId="527FA15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X</w:t>
            </w:r>
          </w:p>
        </w:tc>
      </w:tr>
      <w:tr w:rsidRPr="009C4D10" w:rsidR="00047A9C" w:rsidTr="00685C07"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1C4E5043" w14:textId="589108F0">
            <w:pPr>
              <w:textAlignment w:val="baseline"/>
              <w:rPr>
                <w:rFonts w:ascii="Calibri" w:hAnsi="Calibri" w:eastAsia="Times New Roman" w:cs="Calibri"/>
                <w:kern w:val="0"/>
                <w:lang w:eastAsia="en-GB"/>
                <w14:ligatures w14:val="none"/>
              </w:rPr>
            </w:pP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0369DE87" w14:textId="452C8903">
            <w:pPr>
              <w:textAlignment w:val="baseline"/>
              <w:rPr>
                <w:rFonts w:ascii="Calibri" w:hAnsi="Calibri" w:eastAsia="Times New Roman" w:cs="Calibri"/>
                <w:kern w:val="0"/>
                <w:lang w:eastAsia="en-GB"/>
                <w14:ligatures w14:val="none"/>
              </w:rPr>
            </w:pP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685C07" w14:paraId="0F8A9FC3" w14:textId="657A00C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X</w:t>
            </w:r>
          </w:p>
        </w:tc>
      </w:tr>
      <w:tr w:rsidRPr="009C4D10" w:rsidR="00047A9C" w:rsidTr="00685C07"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3F9743A1" w14:textId="6DB4C3AD">
            <w:pPr>
              <w:textAlignment w:val="baseline"/>
              <w:rPr>
                <w:rFonts w:ascii="Calibri" w:hAnsi="Calibri" w:eastAsia="Times New Roman" w:cs="Calibri"/>
                <w:kern w:val="0"/>
                <w:lang w:eastAsia="en-GB"/>
                <w14:ligatures w14:val="none"/>
              </w:rPr>
            </w:pP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047A9C" w14:paraId="290A542D" w14:textId="4F88B3DC">
            <w:pPr>
              <w:textAlignment w:val="baseline"/>
              <w:rPr>
                <w:rFonts w:ascii="Calibri" w:hAnsi="Calibri" w:eastAsia="Times New Roman" w:cs="Calibri"/>
                <w:kern w:val="0"/>
                <w:lang w:eastAsia="en-GB"/>
                <w14:ligatures w14:val="none"/>
              </w:rPr>
            </w:pP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047A9C" w:rsidP="00CF2E7C" w:rsidRDefault="00685C07" w14:paraId="0C4C1047" w14:textId="78FF1AD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X</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183CCF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35E11DB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85C07">
              <w:rPr>
                <w:rFonts w:ascii="Calibri" w:hAnsi="Calibri" w:eastAsia="Times New Roman" w:cs="Calibri"/>
                <w:kern w:val="0"/>
                <w:lang w:eastAsia="en-GB"/>
                <w14:ligatures w14:val="none"/>
              </w:rPr>
              <w:t>X</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6F19EF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85C07">
              <w:rPr>
                <w:rFonts w:ascii="Calibri" w:hAnsi="Calibri" w:eastAsia="Times New Roman" w:cs="Calibri"/>
                <w:kern w:val="0"/>
                <w:lang w:eastAsia="en-GB"/>
                <w14:ligatures w14:val="none"/>
              </w:rPr>
              <w:t>X</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5D0106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85C07">
              <w:rPr>
                <w:rFonts w:ascii="Calibri" w:hAnsi="Calibri" w:eastAsia="Times New Roman" w:cs="Calibri"/>
                <w:kern w:val="0"/>
                <w:lang w:eastAsia="en-GB"/>
                <w14:ligatures w14:val="none"/>
              </w:rPr>
              <w:t>X</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0B5423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491DD3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85C07">
              <w:rPr>
                <w:rFonts w:ascii="Calibri" w:hAnsi="Calibri" w:eastAsia="Times New Roman" w:cs="Calibri"/>
                <w:kern w:val="0"/>
                <w:lang w:eastAsia="en-GB"/>
                <w14:ligatures w14:val="none"/>
              </w:rPr>
              <w:t>X</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685C07" w:rsidR="00685C07" w:rsidP="00685C07" w:rsidRDefault="00047A9C" w14:paraId="22FAD54F" w14:textId="77777777">
            <w:pPr>
              <w:textAlignment w:val="baseline"/>
              <w:rPr>
                <w:rFonts w:ascii="Calibri" w:hAnsi="Calibri" w:eastAsia="Times New Roman" w:cs="Calibri"/>
                <w:kern w:val="0"/>
                <w:lang w:val="en-US" w:eastAsia="en-GB"/>
                <w14:ligatures w14:val="none"/>
              </w:rPr>
            </w:pPr>
            <w:r w:rsidRPr="00685C07">
              <w:rPr>
                <w:rFonts w:ascii="Calibri" w:hAnsi="Calibri" w:eastAsia="Times New Roman" w:cs="Calibri"/>
                <w:kern w:val="0"/>
                <w:lang w:eastAsia="en-GB"/>
                <w14:ligatures w14:val="none"/>
              </w:rPr>
              <w:t> </w:t>
            </w:r>
            <w:r w:rsidRPr="00685C07" w:rsidR="00685C07">
              <w:rPr>
                <w:rFonts w:ascii="Calibri" w:hAnsi="Calibri" w:eastAsia="Times New Roman" w:cs="Calibri"/>
                <w:kern w:val="0"/>
                <w:lang w:val="en-US" w:eastAsia="en-GB"/>
                <w14:ligatures w14:val="none"/>
              </w:rPr>
              <w:t>Section §95490 – Provisions for Fuels Produced Using Carbon Capture and Sequestration</w:t>
            </w:r>
          </w:p>
          <w:p w:rsidRPr="00685C07" w:rsidR="00685C07" w:rsidP="00685C07" w:rsidRDefault="00685C07" w14:paraId="0BD5EBC7" w14:textId="77777777">
            <w:pPr>
              <w:textAlignment w:val="baseline"/>
              <w:rPr>
                <w:rFonts w:ascii="Calibri" w:hAnsi="Calibri" w:eastAsia="Times New Roman" w:cs="Calibri"/>
                <w:kern w:val="0"/>
                <w:lang w:val="en-US" w:eastAsia="en-GB"/>
                <w14:ligatures w14:val="none"/>
              </w:rPr>
            </w:pPr>
            <w:r w:rsidRPr="00685C07">
              <w:rPr>
                <w:rFonts w:ascii="Calibri" w:hAnsi="Calibri" w:eastAsia="Times New Roman" w:cs="Calibri"/>
                <w:kern w:val="0"/>
                <w:lang w:val="en-US" w:eastAsia="en-GB"/>
                <w14:ligatures w14:val="none"/>
              </w:rPr>
              <w:t>This section outlines the eligibility and operational requirements for CCS projects to generate LCFS credits. It includes:</w:t>
            </w:r>
          </w:p>
          <w:p w:rsidRPr="00685C07" w:rsidR="00685C07" w:rsidP="00685C07" w:rsidRDefault="00685C07" w14:paraId="28C2EDFD" w14:textId="77777777">
            <w:pPr>
              <w:numPr>
                <w:ilvl w:val="0"/>
                <w:numId w:val="55"/>
              </w:numPr>
              <w:textAlignment w:val="baseline"/>
              <w:rPr>
                <w:rFonts w:ascii="Calibri" w:hAnsi="Calibri" w:eastAsia="Times New Roman" w:cs="Calibri"/>
                <w:kern w:val="0"/>
                <w:lang w:val="en-US" w:eastAsia="en-GB"/>
                <w14:ligatures w14:val="none"/>
              </w:rPr>
            </w:pPr>
            <w:r w:rsidRPr="00685C07">
              <w:rPr>
                <w:rFonts w:ascii="Calibri" w:hAnsi="Calibri" w:eastAsia="Times New Roman" w:cs="Calibri"/>
                <w:kern w:val="0"/>
                <w:lang w:val="en-US" w:eastAsia="en-GB"/>
                <w14:ligatures w14:val="none"/>
              </w:rPr>
              <w:t>Verification of Permanent Sequestration:</w:t>
            </w:r>
          </w:p>
          <w:p w:rsidRPr="00685C07" w:rsidR="00685C07" w:rsidP="00685C07" w:rsidRDefault="00685C07" w14:paraId="5930BB54" w14:textId="77777777">
            <w:pPr>
              <w:numPr>
                <w:ilvl w:val="1"/>
                <w:numId w:val="55"/>
              </w:numPr>
              <w:textAlignment w:val="baseline"/>
              <w:rPr>
                <w:rFonts w:ascii="Calibri" w:hAnsi="Calibri" w:eastAsia="Times New Roman" w:cs="Calibri"/>
                <w:kern w:val="0"/>
                <w:lang w:val="en-US" w:eastAsia="en-GB"/>
                <w14:ligatures w14:val="none"/>
              </w:rPr>
            </w:pPr>
            <w:r w:rsidRPr="00685C07">
              <w:rPr>
                <w:rFonts w:ascii="Calibri" w:hAnsi="Calibri" w:eastAsia="Times New Roman" w:cs="Calibri"/>
                <w:kern w:val="0"/>
                <w:lang w:val="en-US" w:eastAsia="en-GB"/>
                <w14:ligatures w14:val="none"/>
              </w:rPr>
              <w:t>CCS projects must demonstrate that captured CO₂ is injected and permanently sequestered.</w:t>
            </w:r>
          </w:p>
          <w:p w:rsidRPr="00685C07" w:rsidR="00685C07" w:rsidP="00685C07" w:rsidRDefault="00685C07" w14:paraId="3D8F7D1A" w14:textId="77777777">
            <w:pPr>
              <w:numPr>
                <w:ilvl w:val="1"/>
                <w:numId w:val="55"/>
              </w:numPr>
              <w:textAlignment w:val="baseline"/>
              <w:rPr>
                <w:rFonts w:ascii="Calibri" w:hAnsi="Calibri" w:eastAsia="Times New Roman" w:cs="Calibri"/>
                <w:kern w:val="0"/>
                <w:lang w:val="en-US" w:eastAsia="en-GB"/>
                <w14:ligatures w14:val="none"/>
              </w:rPr>
            </w:pPr>
            <w:r w:rsidRPr="00685C07">
              <w:rPr>
                <w:rFonts w:ascii="Calibri" w:hAnsi="Calibri" w:eastAsia="Times New Roman" w:cs="Calibri"/>
                <w:kern w:val="0"/>
                <w:lang w:val="en-US" w:eastAsia="en-GB"/>
                <w14:ligatures w14:val="none"/>
              </w:rPr>
              <w:t>The sequestration must comply with the LCFS CCS Protocol, which includes long-term monitoring and site integrity requirements.</w:t>
            </w:r>
          </w:p>
          <w:p w:rsidRPr="00CF2E7C" w:rsidR="00047A9C" w:rsidP="00685C07" w:rsidRDefault="00685C07" w14:paraId="0FE0C2C7" w14:textId="04B30B2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The LCFS regulation does not specify a fixed number of years for permanence.  Instead, it defers to the LCFS CCS Protocol, which includes long-term monitoring, site integrity assurances, regulatory oversight, and executive certification of the sequestration site’s capability for permanent CO2 storage.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620F6C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85C07">
              <w:rPr>
                <w:rFonts w:ascii="Calibri" w:hAnsi="Calibri" w:eastAsia="Times New Roman" w:cs="Calibri"/>
                <w:kern w:val="0"/>
                <w:lang w:eastAsia="en-GB"/>
                <w14:ligatures w14:val="none"/>
              </w:rPr>
              <w:t>X</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04D10A4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85C07">
              <w:rPr>
                <w:rFonts w:ascii="Calibri" w:hAnsi="Calibri" w:eastAsia="Times New Roman" w:cs="Calibri"/>
                <w:kern w:val="0"/>
                <w:lang w:eastAsia="en-GB"/>
                <w14:ligatures w14:val="none"/>
              </w:rPr>
              <w:t>X</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6283CF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85C07">
              <w:rPr>
                <w:rFonts w:ascii="Calibri" w:hAnsi="Calibri" w:eastAsia="Times New Roman" w:cs="Calibri"/>
                <w:kern w:val="0"/>
                <w:lang w:eastAsia="en-GB"/>
                <w14:ligatures w14:val="none"/>
              </w:rPr>
              <w:t>X</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5C345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85C07">
              <w:rPr>
                <w:rFonts w:ascii="Calibri" w:hAnsi="Calibri" w:eastAsia="Times New Roman" w:cs="Calibri"/>
                <w:kern w:val="0"/>
                <w:lang w:eastAsia="en-GB"/>
                <w14:ligatures w14:val="none"/>
              </w:rPr>
              <w:t>X</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5F4EA3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85C07">
              <w:rPr>
                <w:rFonts w:ascii="Calibri" w:hAnsi="Calibri" w:eastAsia="Times New Roman" w:cs="Calibri"/>
                <w:kern w:val="0"/>
                <w:lang w:eastAsia="en-GB"/>
                <w14:ligatures w14:val="none"/>
              </w:rPr>
              <w:t>X</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66EC21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85C07">
              <w:rPr>
                <w:rFonts w:ascii="Calibri" w:hAnsi="Calibri" w:eastAsia="Times New Roman" w:cs="Calibri"/>
                <w:kern w:val="0"/>
                <w:lang w:eastAsia="en-GB"/>
                <w14:ligatures w14:val="none"/>
              </w:rPr>
              <w:t>X</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-generating </w:t>
            </w:r>
            <w:r w:rsidRPr="00CF2E7C">
              <w:rPr>
                <w:rFonts w:ascii="Calibri" w:hAnsi="Calibri" w:eastAsia="Times New Roman" w:cs="Calibri"/>
                <w:kern w:val="0"/>
                <w:lang w:eastAsia="en-GB"/>
                <w14:ligatures w14:val="none"/>
              </w:rPr>
              <w:lastRenderedPageBreak/>
              <w:t>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417347" w14:paraId="49F20F28" w14:textId="0D197CE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2E3A4944">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417347" w:rsidR="00417347" w:rsidP="00417347" w:rsidRDefault="00417347" w14:paraId="750B35FD" w14:textId="77777777">
            <w:pPr>
              <w:textAlignment w:val="baseline"/>
              <w:rPr>
                <w:rFonts w:ascii="Calibri" w:hAnsi="Calibri" w:eastAsia="Times New Roman" w:cs="Calibri"/>
                <w:kern w:val="0"/>
                <w:lang w:val="en-US" w:eastAsia="en-GB"/>
                <w14:ligatures w14:val="none"/>
              </w:rPr>
            </w:pPr>
            <w:r w:rsidRPr="00417347">
              <w:rPr>
                <w:rFonts w:ascii="Calibri" w:hAnsi="Calibri" w:eastAsia="Times New Roman" w:cs="Calibri"/>
                <w:kern w:val="0"/>
                <w:lang w:val="en-US" w:eastAsia="en-GB"/>
                <w14:ligatures w14:val="none"/>
              </w:rPr>
              <w:t>Section §95491.1 and §95491.2 – Recordkeeping and Measurement Accuracy</w:t>
            </w:r>
          </w:p>
          <w:p w:rsidRPr="00417347" w:rsidR="00417347" w:rsidP="00417347" w:rsidRDefault="00417347" w14:paraId="4A231C47" w14:textId="77777777">
            <w:pPr>
              <w:textAlignment w:val="baseline"/>
              <w:rPr>
                <w:rFonts w:ascii="Calibri" w:hAnsi="Calibri" w:eastAsia="Times New Roman" w:cs="Calibri"/>
                <w:kern w:val="0"/>
                <w:lang w:val="en-US" w:eastAsia="en-GB"/>
                <w14:ligatures w14:val="none"/>
              </w:rPr>
            </w:pPr>
            <w:r w:rsidRPr="00417347">
              <w:rPr>
                <w:rFonts w:ascii="Calibri" w:hAnsi="Calibri" w:eastAsia="Times New Roman" w:cs="Calibri"/>
                <w:kern w:val="0"/>
                <w:lang w:val="en-US" w:eastAsia="en-GB"/>
                <w14:ligatures w14:val="none"/>
              </w:rPr>
              <w:t>Entities must:</w:t>
            </w:r>
          </w:p>
          <w:p w:rsidRPr="00417347" w:rsidR="00417347" w:rsidP="00417347" w:rsidRDefault="00417347" w14:paraId="4000A2E4" w14:textId="77777777">
            <w:pPr>
              <w:numPr>
                <w:ilvl w:val="0"/>
                <w:numId w:val="56"/>
              </w:numPr>
              <w:textAlignment w:val="baseline"/>
              <w:rPr>
                <w:rFonts w:ascii="Calibri" w:hAnsi="Calibri" w:eastAsia="Times New Roman" w:cs="Calibri"/>
                <w:kern w:val="0"/>
                <w:lang w:val="en-US" w:eastAsia="en-GB"/>
                <w14:ligatures w14:val="none"/>
              </w:rPr>
            </w:pPr>
            <w:r w:rsidRPr="00417347">
              <w:rPr>
                <w:rFonts w:ascii="Calibri" w:hAnsi="Calibri" w:eastAsia="Times New Roman" w:cs="Calibri"/>
                <w:kern w:val="0"/>
                <w:lang w:val="en-US" w:eastAsia="en-GB"/>
                <w14:ligatures w14:val="none"/>
              </w:rPr>
              <w:t>Maintain records of equations used to calculate flows in mass, volume, or energy units.</w:t>
            </w:r>
          </w:p>
          <w:p w:rsidRPr="00417347" w:rsidR="00417347" w:rsidP="00417347" w:rsidRDefault="00417347" w14:paraId="7375C929" w14:textId="77777777">
            <w:pPr>
              <w:numPr>
                <w:ilvl w:val="0"/>
                <w:numId w:val="56"/>
              </w:numPr>
              <w:textAlignment w:val="baseline"/>
              <w:rPr>
                <w:rFonts w:ascii="Calibri" w:hAnsi="Calibri" w:eastAsia="Times New Roman" w:cs="Calibri"/>
                <w:kern w:val="0"/>
                <w:lang w:val="en-US" w:eastAsia="en-GB"/>
                <w14:ligatures w14:val="none"/>
              </w:rPr>
            </w:pPr>
            <w:r w:rsidRPr="00417347">
              <w:rPr>
                <w:rFonts w:ascii="Calibri" w:hAnsi="Calibri" w:eastAsia="Times New Roman" w:cs="Calibri"/>
                <w:kern w:val="0"/>
                <w:lang w:val="en-US" w:eastAsia="en-GB"/>
                <w14:ligatures w14:val="none"/>
              </w:rPr>
              <w:t>Describe methodologies for assigning fuel volumes and testing conformance to specifications.</w:t>
            </w:r>
          </w:p>
          <w:p w:rsidRPr="00417347" w:rsidR="00DD694D" w:rsidP="00CF2E7C" w:rsidRDefault="00417347" w14:paraId="4073F913" w14:textId="1E89F9A1">
            <w:pPr>
              <w:numPr>
                <w:ilvl w:val="0"/>
                <w:numId w:val="56"/>
              </w:numPr>
              <w:textAlignment w:val="baseline"/>
              <w:rPr>
                <w:rFonts w:ascii="Calibri" w:hAnsi="Calibri" w:eastAsia="Times New Roman" w:cs="Calibri"/>
                <w:kern w:val="0"/>
                <w:lang w:val="en-US" w:eastAsia="en-GB"/>
                <w14:ligatures w14:val="none"/>
              </w:rPr>
            </w:pPr>
            <w:r w:rsidRPr="00417347">
              <w:rPr>
                <w:rFonts w:ascii="Calibri" w:hAnsi="Calibri" w:eastAsia="Times New Roman" w:cs="Calibri"/>
                <w:kern w:val="0"/>
                <w:lang w:val="en-US" w:eastAsia="en-GB"/>
                <w14:ligatures w14:val="none"/>
              </w:rPr>
              <w:t>Ensure measurement devices meet accuracy standards (±5.00%).</w:t>
            </w: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46270A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7221C">
              <w:rPr>
                <w:rFonts w:ascii="Calibri" w:hAnsi="Calibri" w:eastAsia="Times New Roman" w:cs="Calibri"/>
                <w:kern w:val="0"/>
                <w:lang w:eastAsia="en-GB"/>
                <w14:ligatures w14:val="none"/>
              </w:rPr>
              <w:t>X</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62D35C1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7221C">
              <w:rPr>
                <w:rFonts w:ascii="Calibri" w:hAnsi="Calibri" w:eastAsia="Times New Roman" w:cs="Calibri"/>
                <w:kern w:val="0"/>
                <w:lang w:eastAsia="en-GB"/>
                <w14:ligatures w14:val="none"/>
              </w:rPr>
              <w:t>X</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61807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7221C">
              <w:rPr>
                <w:rFonts w:ascii="Calibri" w:hAnsi="Calibri" w:eastAsia="Times New Roman" w:cs="Calibri"/>
                <w:kern w:val="0"/>
                <w:lang w:eastAsia="en-GB"/>
                <w14:ligatures w14:val="none"/>
              </w:rPr>
              <w:t>X</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1914905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7221C">
              <w:rPr>
                <w:rFonts w:ascii="Calibri" w:hAnsi="Calibri" w:eastAsia="Times New Roman" w:cs="Calibri"/>
                <w:kern w:val="0"/>
                <w:lang w:eastAsia="en-GB"/>
                <w14:ligatures w14:val="none"/>
              </w:rPr>
              <w:t>X</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44F1DE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7221C">
              <w:rPr>
                <w:rFonts w:ascii="Calibri" w:hAnsi="Calibri" w:eastAsia="Times New Roman" w:cs="Calibri"/>
                <w:kern w:val="0"/>
                <w:lang w:eastAsia="en-GB"/>
                <w14:ligatures w14:val="none"/>
              </w:rPr>
              <w:t>X</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0DF0C0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7221C">
              <w:rPr>
                <w:rFonts w:ascii="Calibri" w:hAnsi="Calibri" w:eastAsia="Times New Roman" w:cs="Calibri"/>
                <w:kern w:val="0"/>
                <w:lang w:eastAsia="en-GB"/>
                <w14:ligatures w14:val="none"/>
              </w:rPr>
              <w:t>X</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5D4B24" w14:paraId="3618746D" w14:textId="623B3C2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F6135D" w14:paraId="35FA63BE" w14:textId="1097BB6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00B84A96">
              <w:rPr>
                <w:rFonts w:ascii="Calibri" w:hAnsi="Calibri" w:eastAsia="Times New Roman" w:cs="Calibri"/>
                <w:kern w:val="0"/>
                <w:lang w:eastAsia="en-GB"/>
                <w14:ligatures w14:val="none"/>
              </w:rPr>
              <w:t>X</w:t>
            </w: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4A96" w14:paraId="35F7AE3A" w14:textId="0337104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100%</w:t>
            </w: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9B719B" w14:paraId="103B0A56" w14:textId="094A70B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1676AD" w14:paraId="6F8A3E1F" w14:textId="150F24C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xml:space="preserve">, please also fill out Section 4.3.2. However, if you have </w:t>
            </w:r>
            <w:r w:rsidRPr="00CF2E7C">
              <w:rPr>
                <w:rFonts w:ascii="Calibri" w:hAnsi="Calibri" w:eastAsia="Times New Roman"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002119B6" w:rsidP="00CF2E7C" w:rsidRDefault="00DB5191" w14:paraId="1897DC26" w14:textId="0F8F953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Section 95485(a): </w:t>
            </w:r>
            <w:r w:rsidR="001676AD">
              <w:rPr>
                <w:rFonts w:ascii="Calibri" w:hAnsi="Calibri" w:eastAsia="Times New Roman" w:cs="Calibri"/>
                <w:kern w:val="0"/>
                <w:lang w:eastAsia="en-GB"/>
                <w14:ligatures w14:val="none"/>
              </w:rPr>
              <w:t xml:space="preserve">LCFS Credits </w:t>
            </w:r>
            <w:r w:rsidR="00E30482">
              <w:rPr>
                <w:rFonts w:ascii="Calibri" w:hAnsi="Calibri" w:eastAsia="Times New Roman" w:cs="Calibri"/>
                <w:kern w:val="0"/>
                <w:lang w:eastAsia="en-GB"/>
                <w14:ligatures w14:val="none"/>
              </w:rPr>
              <w:t>are core credits generated when a fuel’s carbon intensity (CI) is lower than the applicable benchmark.  These can be used to directly offset deficits incurred by fuels with CI above the benchmark.</w:t>
            </w:r>
          </w:p>
          <w:p w:rsidR="00DB5191" w:rsidP="00CF2E7C" w:rsidRDefault="00DB5191" w14:paraId="52D4477E" w14:textId="7777777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Section 95481, 95485(c):  Advanced Credits </w:t>
            </w:r>
            <w:r w:rsidR="00690ED0">
              <w:rPr>
                <w:rFonts w:ascii="Calibri" w:hAnsi="Calibri" w:eastAsia="Times New Roman" w:cs="Calibri"/>
                <w:kern w:val="0"/>
                <w:lang w:eastAsia="en-GB"/>
                <w14:ligatures w14:val="none"/>
              </w:rPr>
              <w:t xml:space="preserve">are LCFS base electricity credits issued before the quarter in which credit-generating transactions occur.  These can only be sold via the Credit Clearance Market and retired to meet compliance obligations.  </w:t>
            </w:r>
          </w:p>
          <w:p w:rsidR="00FB6EAC" w:rsidP="00CF2E7C" w:rsidRDefault="00FB6EAC" w14:paraId="4CE60650" w14:textId="7777777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Section 95486(a)(5):  </w:t>
            </w:r>
            <w:proofErr w:type="spellStart"/>
            <w:r>
              <w:rPr>
                <w:rFonts w:ascii="Calibri" w:hAnsi="Calibri" w:eastAsia="Times New Roman" w:cs="Calibri"/>
                <w:kern w:val="0"/>
                <w:lang w:eastAsia="en-GB"/>
                <w14:ligatures w14:val="none"/>
              </w:rPr>
              <w:t>Carryback</w:t>
            </w:r>
            <w:proofErr w:type="spellEnd"/>
            <w:r>
              <w:rPr>
                <w:rFonts w:ascii="Calibri" w:hAnsi="Calibri" w:eastAsia="Times New Roman" w:cs="Calibri"/>
                <w:kern w:val="0"/>
                <w:lang w:eastAsia="en-GB"/>
                <w14:ligatures w14:val="none"/>
              </w:rPr>
              <w:t xml:space="preserve"> Credits acquired between January 1 and April 30 of the year following the compliance year can be applied retroactively to meet the previous year’s compliance obligation. </w:t>
            </w:r>
          </w:p>
          <w:p w:rsidR="00FB6EAC" w:rsidP="00CF2E7C" w:rsidRDefault="004D46B3" w14:paraId="7DE8DE8E" w14:textId="7777777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Section 95485(c):  </w:t>
            </w:r>
            <w:r w:rsidR="00FB6EAC">
              <w:rPr>
                <w:rFonts w:ascii="Calibri" w:hAnsi="Calibri" w:eastAsia="Times New Roman" w:cs="Calibri"/>
                <w:kern w:val="0"/>
                <w:lang w:eastAsia="en-GB"/>
                <w14:ligatures w14:val="none"/>
              </w:rPr>
              <w:t xml:space="preserve">Credit Clearance Market Credits </w:t>
            </w:r>
            <w:r>
              <w:rPr>
                <w:rFonts w:ascii="Calibri" w:hAnsi="Calibri" w:eastAsia="Times New Roman" w:cs="Calibri"/>
                <w:kern w:val="0"/>
                <w:lang w:eastAsia="en-GB"/>
                <w14:ligatures w14:val="none"/>
              </w:rPr>
              <w:t xml:space="preserve">are credits pledged and sold during the CCM period (June 1 to August 30).  They can be purchased by entities with deficits to fulfil compliance obligations. </w:t>
            </w:r>
          </w:p>
          <w:p w:rsidR="004D46B3" w:rsidP="00CF2E7C" w:rsidRDefault="004D46B3" w14:paraId="11956E24" w14:textId="7777777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Section 95489(e):  Refinery Investment Credits or those from projects that reduce GHG emissions at refineries can be used to offset compliance obligations. </w:t>
            </w:r>
          </w:p>
          <w:p w:rsidRPr="00CF2E7C" w:rsidR="00CD6B52" w:rsidP="00CF2E7C" w:rsidRDefault="004D46B3" w14:paraId="153D276A" w14:textId="6663224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Section 95489(f);  Renewable Hydrogen Refinery Credits for producing </w:t>
            </w:r>
            <w:proofErr w:type="spellStart"/>
            <w:r>
              <w:rPr>
                <w:rFonts w:ascii="Calibri" w:hAnsi="Calibri" w:eastAsia="Times New Roman" w:cs="Calibri"/>
                <w:kern w:val="0"/>
                <w:lang w:eastAsia="en-GB"/>
                <w14:ligatures w14:val="none"/>
              </w:rPr>
              <w:t>CARBOB</w:t>
            </w:r>
            <w:proofErr w:type="spellEnd"/>
            <w:r>
              <w:rPr>
                <w:rFonts w:ascii="Calibri" w:hAnsi="Calibri" w:eastAsia="Times New Roman" w:cs="Calibri"/>
                <w:kern w:val="0"/>
                <w:lang w:eastAsia="en-GB"/>
                <w14:ligatures w14:val="none"/>
              </w:rPr>
              <w:t xml:space="preserve"> or diesel using renewable hydrogen </w:t>
            </w:r>
            <w:r w:rsidR="00CD6B52">
              <w:rPr>
                <w:rFonts w:ascii="Calibri" w:hAnsi="Calibri" w:eastAsia="Times New Roman" w:cs="Calibri"/>
                <w:kern w:val="0"/>
                <w:lang w:eastAsia="en-GB"/>
                <w14:ligatures w14:val="none"/>
              </w:rPr>
              <w:t xml:space="preserve">can be used for compliance if fuel is sold in California. </w:t>
            </w: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1322F3" w14:paraId="16EB3566" w14:textId="305913E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C11E82" w14:paraId="0F8FAB51" w14:textId="21CFE8D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X</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C7DCA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11E82">
              <w:rPr>
                <w:rFonts w:ascii="Calibri" w:hAnsi="Calibri" w:eastAsia="Times New Roman" w:cs="Calibri"/>
                <w:kern w:val="0"/>
                <w:lang w:eastAsia="en-GB"/>
                <w14:ligatures w14:val="none"/>
              </w:rPr>
              <w:t>X</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00D60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11E82">
              <w:rPr>
                <w:rFonts w:ascii="Calibri" w:hAnsi="Calibri" w:eastAsia="Times New Roman" w:cs="Calibri"/>
                <w:kern w:val="0"/>
                <w:lang w:eastAsia="en-GB"/>
                <w14:ligatures w14:val="none"/>
              </w:rPr>
              <w:t>X</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2E1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11E82">
              <w:rPr>
                <w:rFonts w:ascii="Calibri" w:hAnsi="Calibri" w:eastAsia="Times New Roman" w:cs="Calibri"/>
                <w:kern w:val="0"/>
                <w:lang w:eastAsia="en-GB"/>
                <w14:ligatures w14:val="none"/>
              </w:rPr>
              <w:t>X</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04321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11E82">
              <w:rPr>
                <w:rFonts w:ascii="Calibri" w:hAnsi="Calibri" w:eastAsia="Times New Roman" w:cs="Calibri"/>
                <w:kern w:val="0"/>
                <w:lang w:eastAsia="en-GB"/>
                <w14:ligatures w14:val="none"/>
              </w:rPr>
              <w:t>X</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11ECB9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11E82">
              <w:rPr>
                <w:rFonts w:ascii="Calibri" w:hAnsi="Calibri" w:eastAsia="Times New Roman" w:cs="Calibri"/>
                <w:kern w:val="0"/>
                <w:lang w:eastAsia="en-GB"/>
                <w14:ligatures w14:val="none"/>
              </w:rPr>
              <w:t>X</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419409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11E82">
              <w:rPr>
                <w:rFonts w:ascii="Calibri" w:hAnsi="Calibri" w:eastAsia="Times New Roman" w:cs="Calibri"/>
                <w:kern w:val="0"/>
                <w:lang w:eastAsia="en-GB"/>
                <w14:ligatures w14:val="none"/>
              </w:rPr>
              <w:t>X</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674737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11E82">
              <w:rPr>
                <w:rFonts w:ascii="Calibri" w:hAnsi="Calibri" w:eastAsia="Times New Roman" w:cs="Calibri"/>
                <w:kern w:val="0"/>
                <w:lang w:eastAsia="en-GB"/>
                <w14:ligatures w14:val="none"/>
              </w:rPr>
              <w:t>X</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321BF80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C11E82">
              <w:rPr>
                <w:rFonts w:ascii="Calibri" w:hAnsi="Calibri" w:eastAsia="Times New Roman" w:cs="Calibri"/>
                <w:kern w:val="0"/>
                <w:lang w:eastAsia="en-GB"/>
                <w14:ligatures w14:val="none"/>
              </w:rPr>
              <w:t>X</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AAB4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4683F">
              <w:rPr>
                <w:rFonts w:ascii="Calibri" w:hAnsi="Calibri" w:eastAsia="Times New Roman" w:cs="Calibri"/>
                <w:kern w:val="0"/>
                <w:lang w:eastAsia="en-GB"/>
                <w14:ligatures w14:val="none"/>
              </w:rPr>
              <w:t>X</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16F44D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4683F">
              <w:rPr>
                <w:rFonts w:ascii="Calibri" w:hAnsi="Calibri" w:eastAsia="Times New Roman" w:cs="Calibri"/>
                <w:kern w:val="0"/>
                <w:lang w:eastAsia="en-GB"/>
                <w14:ligatures w14:val="none"/>
              </w:rPr>
              <w:t>X</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355CB2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4683F">
              <w:rPr>
                <w:rFonts w:ascii="Calibri" w:hAnsi="Calibri" w:eastAsia="Times New Roman" w:cs="Calibri"/>
                <w:kern w:val="0"/>
                <w:lang w:eastAsia="en-GB"/>
                <w14:ligatures w14:val="none"/>
              </w:rPr>
              <w:t>X</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402ADD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4683F">
              <w:rPr>
                <w:rFonts w:ascii="Calibri" w:hAnsi="Calibri" w:eastAsia="Times New Roman" w:cs="Calibri"/>
                <w:kern w:val="0"/>
                <w:lang w:eastAsia="en-GB"/>
                <w14:ligatures w14:val="none"/>
              </w:rPr>
              <w:t>X</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477305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4683F">
              <w:rPr>
                <w:rFonts w:ascii="Calibri" w:hAnsi="Calibri" w:eastAsia="Times New Roman" w:cs="Calibri"/>
                <w:kern w:val="0"/>
                <w:lang w:eastAsia="en-GB"/>
                <w14:ligatures w14:val="none"/>
              </w:rPr>
              <w:t>X</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22A0F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4683F">
              <w:rPr>
                <w:rFonts w:ascii="Calibri" w:hAnsi="Calibri" w:eastAsia="Times New Roman" w:cs="Calibri"/>
                <w:kern w:val="0"/>
                <w:lang w:eastAsia="en-GB"/>
                <w14:ligatures w14:val="none"/>
              </w:rPr>
              <w:t>X</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lastRenderedPageBreak/>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88764E"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23">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24">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88764E"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D43C8B" w:rsidP="00874E39" w:rsidRDefault="00D43C8B" w14:paraId="54FDA73A" w14:textId="77777777">
      <w:r>
        <w:separator/>
      </w:r>
    </w:p>
  </w:endnote>
  <w:endnote w:type="continuationSeparator" w:id="0">
    <w:p w:rsidR="00D43C8B" w:rsidP="00874E39" w:rsidRDefault="00D43C8B" w14:paraId="4030B7F1" w14:textId="77777777">
      <w:r>
        <w:continuationSeparator/>
      </w:r>
    </w:p>
  </w:endnote>
  <w:endnote w:type="continuationNotice" w:id="1">
    <w:p w:rsidR="00D43C8B" w:rsidRDefault="00D43C8B" w14:paraId="2696DBC1"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58241;mso-position-horizontal-relative:margin;mso-position-vertical-relative:margin" coordsize="29832,7194" o:spid="_x0000_s1026"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w14:anchorId="34DA84F1">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D43C8B" w:rsidP="00874E39" w:rsidRDefault="00D43C8B" w14:paraId="5EE36CBF" w14:textId="77777777">
      <w:r>
        <w:separator/>
      </w:r>
    </w:p>
  </w:footnote>
  <w:footnote w:type="continuationSeparator" w:id="0">
    <w:p w:rsidR="00D43C8B" w:rsidP="00874E39" w:rsidRDefault="00D43C8B" w14:paraId="1FF1BB02" w14:textId="77777777">
      <w:r>
        <w:continuationSeparator/>
      </w:r>
    </w:p>
  </w:footnote>
  <w:footnote w:type="continuationNotice" w:id="1">
    <w:p w:rsidR="00D43C8B" w:rsidRDefault="00D43C8B" w14:paraId="6E85C59A"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990" w:hanging="360"/>
      </w:pPr>
    </w:lvl>
    <w:lvl w:ilvl="1" w:tplc="8028F7AA">
      <w:start w:val="1"/>
      <w:numFmt w:val="lowerLetter"/>
      <w:lvlText w:val="%2."/>
      <w:lvlJc w:val="left"/>
      <w:pPr>
        <w:ind w:left="1710" w:hanging="360"/>
      </w:pPr>
    </w:lvl>
    <w:lvl w:ilvl="2" w:tplc="E10E78AC">
      <w:start w:val="1"/>
      <w:numFmt w:val="lowerRoman"/>
      <w:lvlText w:val="%3."/>
      <w:lvlJc w:val="right"/>
      <w:pPr>
        <w:ind w:left="2430" w:hanging="180"/>
      </w:pPr>
    </w:lvl>
    <w:lvl w:ilvl="3" w:tplc="CB6C810C">
      <w:start w:val="1"/>
      <w:numFmt w:val="decimal"/>
      <w:lvlText w:val="%4."/>
      <w:lvlJc w:val="left"/>
      <w:pPr>
        <w:ind w:left="3150" w:hanging="360"/>
      </w:pPr>
    </w:lvl>
    <w:lvl w:ilvl="4" w:tplc="40964A14">
      <w:start w:val="1"/>
      <w:numFmt w:val="lowerLetter"/>
      <w:lvlText w:val="%5."/>
      <w:lvlJc w:val="left"/>
      <w:pPr>
        <w:ind w:left="3870" w:hanging="360"/>
      </w:pPr>
    </w:lvl>
    <w:lvl w:ilvl="5" w:tplc="7942477E">
      <w:start w:val="1"/>
      <w:numFmt w:val="lowerRoman"/>
      <w:lvlText w:val="%6."/>
      <w:lvlJc w:val="right"/>
      <w:pPr>
        <w:ind w:left="4590" w:hanging="180"/>
      </w:pPr>
    </w:lvl>
    <w:lvl w:ilvl="6" w:tplc="12A0F3DE">
      <w:start w:val="1"/>
      <w:numFmt w:val="decimal"/>
      <w:lvlText w:val="%7."/>
      <w:lvlJc w:val="left"/>
      <w:pPr>
        <w:ind w:left="5310" w:hanging="360"/>
      </w:pPr>
    </w:lvl>
    <w:lvl w:ilvl="7" w:tplc="4A8407C6">
      <w:start w:val="1"/>
      <w:numFmt w:val="lowerLetter"/>
      <w:lvlText w:val="%8."/>
      <w:lvlJc w:val="left"/>
      <w:pPr>
        <w:ind w:left="6030" w:hanging="360"/>
      </w:pPr>
    </w:lvl>
    <w:lvl w:ilvl="8" w:tplc="B5922674">
      <w:start w:val="1"/>
      <w:numFmt w:val="lowerRoman"/>
      <w:lvlText w:val="%9."/>
      <w:lvlJc w:val="right"/>
      <w:pPr>
        <w:ind w:left="6750" w:hanging="180"/>
      </w:pPr>
    </w:lvl>
  </w:abstractNum>
  <w:abstractNum w:abstractNumId="1" w15:restartNumberingAfterBreak="0">
    <w:nsid w:val="01CF0FBD"/>
    <w:multiLevelType w:val="hybridMultilevel"/>
    <w:tmpl w:val="5BCCFF7A"/>
    <w:lvl w:ilvl="0" w:tplc="91FA8F1A">
      <w:start w:val="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5C14AF6"/>
    <w:multiLevelType w:val="multilevel"/>
    <w:tmpl w:val="2038466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16520294"/>
    <w:multiLevelType w:val="multilevel"/>
    <w:tmpl w:val="1826EB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2960A0"/>
    <w:multiLevelType w:val="hybridMultilevel"/>
    <w:tmpl w:val="A9DE2C04"/>
    <w:lvl w:ilvl="0" w:tplc="D8385FE8">
      <w:start w:val="16"/>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25B33DC"/>
    <w:multiLevelType w:val="hybridMultilevel"/>
    <w:tmpl w:val="0AFE2D42"/>
    <w:lvl w:ilvl="0" w:tplc="DF9AC5C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8916CB0"/>
    <w:multiLevelType w:val="hybridMultilevel"/>
    <w:tmpl w:val="345887CC"/>
    <w:lvl w:ilvl="0" w:tplc="ECD4470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4066381"/>
    <w:multiLevelType w:val="multilevel"/>
    <w:tmpl w:val="228A7D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5" w15:restartNumberingAfterBreak="0">
    <w:nsid w:val="7F1F0AC6"/>
    <w:multiLevelType w:val="multilevel"/>
    <w:tmpl w:val="0C242AE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80666882">
    <w:abstractNumId w:val="19"/>
  </w:num>
  <w:num w:numId="2" w16cid:durableId="482308869">
    <w:abstractNumId w:val="26"/>
  </w:num>
  <w:num w:numId="3" w16cid:durableId="690952733">
    <w:abstractNumId w:val="47"/>
  </w:num>
  <w:num w:numId="4" w16cid:durableId="1689330127">
    <w:abstractNumId w:val="2"/>
  </w:num>
  <w:num w:numId="5" w16cid:durableId="401291788">
    <w:abstractNumId w:val="31"/>
  </w:num>
  <w:num w:numId="6" w16cid:durableId="1276788690">
    <w:abstractNumId w:val="16"/>
  </w:num>
  <w:num w:numId="7" w16cid:durableId="566767730">
    <w:abstractNumId w:val="23"/>
  </w:num>
  <w:num w:numId="8" w16cid:durableId="1780710843">
    <w:abstractNumId w:val="37"/>
  </w:num>
  <w:num w:numId="9" w16cid:durableId="1685783054">
    <w:abstractNumId w:val="4"/>
  </w:num>
  <w:num w:numId="10" w16cid:durableId="950551298">
    <w:abstractNumId w:val="34"/>
  </w:num>
  <w:num w:numId="11" w16cid:durableId="1591960799">
    <w:abstractNumId w:val="54"/>
  </w:num>
  <w:num w:numId="12" w16cid:durableId="1344891410">
    <w:abstractNumId w:val="12"/>
  </w:num>
  <w:num w:numId="13" w16cid:durableId="2023899324">
    <w:abstractNumId w:val="14"/>
  </w:num>
  <w:num w:numId="14" w16cid:durableId="430587014">
    <w:abstractNumId w:val="8"/>
  </w:num>
  <w:num w:numId="15" w16cid:durableId="1742869061">
    <w:abstractNumId w:val="33"/>
  </w:num>
  <w:num w:numId="16" w16cid:durableId="1996450437">
    <w:abstractNumId w:val="22"/>
  </w:num>
  <w:num w:numId="17" w16cid:durableId="1529031027">
    <w:abstractNumId w:val="11"/>
  </w:num>
  <w:num w:numId="18" w16cid:durableId="568614617">
    <w:abstractNumId w:val="20"/>
  </w:num>
  <w:num w:numId="19" w16cid:durableId="1530605858">
    <w:abstractNumId w:val="48"/>
  </w:num>
  <w:num w:numId="20" w16cid:durableId="1328172586">
    <w:abstractNumId w:val="18"/>
  </w:num>
  <w:num w:numId="21" w16cid:durableId="184827816">
    <w:abstractNumId w:val="30"/>
  </w:num>
  <w:num w:numId="22" w16cid:durableId="1785346599">
    <w:abstractNumId w:val="36"/>
  </w:num>
  <w:num w:numId="23" w16cid:durableId="1294288901">
    <w:abstractNumId w:val="29"/>
  </w:num>
  <w:num w:numId="24" w16cid:durableId="1603957975">
    <w:abstractNumId w:val="50"/>
  </w:num>
  <w:num w:numId="25" w16cid:durableId="1659531047">
    <w:abstractNumId w:val="49"/>
  </w:num>
  <w:num w:numId="26" w16cid:durableId="752774403">
    <w:abstractNumId w:val="25"/>
  </w:num>
  <w:num w:numId="27" w16cid:durableId="347872198">
    <w:abstractNumId w:val="7"/>
  </w:num>
  <w:num w:numId="28" w16cid:durableId="537133110">
    <w:abstractNumId w:val="15"/>
  </w:num>
  <w:num w:numId="29" w16cid:durableId="1632318729">
    <w:abstractNumId w:val="51"/>
  </w:num>
  <w:num w:numId="30" w16cid:durableId="1268124074">
    <w:abstractNumId w:val="35"/>
  </w:num>
  <w:num w:numId="31" w16cid:durableId="887108748">
    <w:abstractNumId w:val="32"/>
  </w:num>
  <w:num w:numId="32" w16cid:durableId="1826125712">
    <w:abstractNumId w:val="38"/>
  </w:num>
  <w:num w:numId="33" w16cid:durableId="823357978">
    <w:abstractNumId w:val="44"/>
  </w:num>
  <w:num w:numId="34" w16cid:durableId="1092120443">
    <w:abstractNumId w:val="43"/>
  </w:num>
  <w:num w:numId="35" w16cid:durableId="124861188">
    <w:abstractNumId w:val="13"/>
  </w:num>
  <w:num w:numId="36" w16cid:durableId="1952588250">
    <w:abstractNumId w:val="41"/>
  </w:num>
  <w:num w:numId="37" w16cid:durableId="1712027211">
    <w:abstractNumId w:val="5"/>
  </w:num>
  <w:num w:numId="38" w16cid:durableId="2033795929">
    <w:abstractNumId w:val="3"/>
  </w:num>
  <w:num w:numId="39" w16cid:durableId="1238595582">
    <w:abstractNumId w:val="27"/>
  </w:num>
  <w:num w:numId="40" w16cid:durableId="416558262">
    <w:abstractNumId w:val="24"/>
  </w:num>
  <w:num w:numId="41" w16cid:durableId="1543715517">
    <w:abstractNumId w:val="21"/>
  </w:num>
  <w:num w:numId="42" w16cid:durableId="452208391">
    <w:abstractNumId w:val="17"/>
  </w:num>
  <w:num w:numId="43" w16cid:durableId="260340070">
    <w:abstractNumId w:val="0"/>
  </w:num>
  <w:num w:numId="44" w16cid:durableId="1639914969">
    <w:abstractNumId w:val="6"/>
  </w:num>
  <w:num w:numId="45" w16cid:durableId="1554191892">
    <w:abstractNumId w:val="46"/>
  </w:num>
  <w:num w:numId="46" w16cid:durableId="947811845">
    <w:abstractNumId w:val="53"/>
  </w:num>
  <w:num w:numId="47" w16cid:durableId="342588554">
    <w:abstractNumId w:val="28"/>
  </w:num>
  <w:num w:numId="48" w16cid:durableId="318391343">
    <w:abstractNumId w:val="40"/>
  </w:num>
  <w:num w:numId="49" w16cid:durableId="1259024018">
    <w:abstractNumId w:val="1"/>
  </w:num>
  <w:num w:numId="50" w16cid:durableId="342629600">
    <w:abstractNumId w:val="39"/>
  </w:num>
  <w:num w:numId="51" w16cid:durableId="830829311">
    <w:abstractNumId w:val="42"/>
  </w:num>
  <w:num w:numId="52" w16cid:durableId="1524661969">
    <w:abstractNumId w:val="45"/>
  </w:num>
  <w:num w:numId="53" w16cid:durableId="992754216">
    <w:abstractNumId w:val="9"/>
  </w:num>
  <w:num w:numId="54" w16cid:durableId="719792807">
    <w:abstractNumId w:val="52"/>
  </w:num>
  <w:num w:numId="55" w16cid:durableId="1447388623">
    <w:abstractNumId w:val="55"/>
  </w:num>
  <w:num w:numId="56" w16cid:durableId="1923760522">
    <w:abstractNumId w:val="1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0C2"/>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2F3"/>
    <w:rsid w:val="00134550"/>
    <w:rsid w:val="00134681"/>
    <w:rsid w:val="001367AB"/>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6AD"/>
    <w:rsid w:val="00172B85"/>
    <w:rsid w:val="00173D7C"/>
    <w:rsid w:val="0017449C"/>
    <w:rsid w:val="001749C3"/>
    <w:rsid w:val="00176011"/>
    <w:rsid w:val="00180289"/>
    <w:rsid w:val="00182288"/>
    <w:rsid w:val="00182646"/>
    <w:rsid w:val="00183170"/>
    <w:rsid w:val="00184609"/>
    <w:rsid w:val="00185C8C"/>
    <w:rsid w:val="00185EC4"/>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128"/>
    <w:rsid w:val="0036671B"/>
    <w:rsid w:val="003676DE"/>
    <w:rsid w:val="0036779C"/>
    <w:rsid w:val="00372AEE"/>
    <w:rsid w:val="00374229"/>
    <w:rsid w:val="0037453B"/>
    <w:rsid w:val="00375D49"/>
    <w:rsid w:val="003762A4"/>
    <w:rsid w:val="003770DA"/>
    <w:rsid w:val="00377281"/>
    <w:rsid w:val="00377B46"/>
    <w:rsid w:val="0037E466"/>
    <w:rsid w:val="003811C3"/>
    <w:rsid w:val="003817C1"/>
    <w:rsid w:val="00381CDC"/>
    <w:rsid w:val="00381E8A"/>
    <w:rsid w:val="00381FD3"/>
    <w:rsid w:val="003852A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7347"/>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7408"/>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46B3"/>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5441"/>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138"/>
    <w:rsid w:val="00536B60"/>
    <w:rsid w:val="00537706"/>
    <w:rsid w:val="005405A8"/>
    <w:rsid w:val="00541713"/>
    <w:rsid w:val="00542E3C"/>
    <w:rsid w:val="00543246"/>
    <w:rsid w:val="005439FC"/>
    <w:rsid w:val="00543A7C"/>
    <w:rsid w:val="00543D45"/>
    <w:rsid w:val="0054407F"/>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1C"/>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3E9"/>
    <w:rsid w:val="005B4539"/>
    <w:rsid w:val="005C327C"/>
    <w:rsid w:val="005C4420"/>
    <w:rsid w:val="005C5681"/>
    <w:rsid w:val="005C6A1D"/>
    <w:rsid w:val="005C765C"/>
    <w:rsid w:val="005C7DF6"/>
    <w:rsid w:val="005D02C9"/>
    <w:rsid w:val="005D4B24"/>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5C07"/>
    <w:rsid w:val="00686052"/>
    <w:rsid w:val="006878AC"/>
    <w:rsid w:val="00690B2A"/>
    <w:rsid w:val="00690ED0"/>
    <w:rsid w:val="006936EF"/>
    <w:rsid w:val="006943E9"/>
    <w:rsid w:val="00695F64"/>
    <w:rsid w:val="00696548"/>
    <w:rsid w:val="00696D48"/>
    <w:rsid w:val="00696D68"/>
    <w:rsid w:val="006A00E0"/>
    <w:rsid w:val="006A103A"/>
    <w:rsid w:val="006A2168"/>
    <w:rsid w:val="006A21C6"/>
    <w:rsid w:val="006A308E"/>
    <w:rsid w:val="006A3518"/>
    <w:rsid w:val="006A4C24"/>
    <w:rsid w:val="006A4C9F"/>
    <w:rsid w:val="006A63B5"/>
    <w:rsid w:val="006B07E5"/>
    <w:rsid w:val="006B0C0B"/>
    <w:rsid w:val="006B11E6"/>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2E6"/>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1EF"/>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3F"/>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64E"/>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19B"/>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0A5E"/>
    <w:rsid w:val="009D12CA"/>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271"/>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0B26"/>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5D94"/>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4A96"/>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E82"/>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20AB"/>
    <w:rsid w:val="00CC450D"/>
    <w:rsid w:val="00CC4FFC"/>
    <w:rsid w:val="00CC5328"/>
    <w:rsid w:val="00CC77F9"/>
    <w:rsid w:val="00CC7CC0"/>
    <w:rsid w:val="00CD0735"/>
    <w:rsid w:val="00CD3D23"/>
    <w:rsid w:val="00CD42E0"/>
    <w:rsid w:val="00CD5322"/>
    <w:rsid w:val="00CD5934"/>
    <w:rsid w:val="00CD5F3D"/>
    <w:rsid w:val="00CD61C8"/>
    <w:rsid w:val="00CD6B26"/>
    <w:rsid w:val="00CD6B52"/>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3C8B"/>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876EA"/>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5191"/>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482"/>
    <w:rsid w:val="00E321EB"/>
    <w:rsid w:val="00E32892"/>
    <w:rsid w:val="00E330BA"/>
    <w:rsid w:val="00E34DED"/>
    <w:rsid w:val="00E368E8"/>
    <w:rsid w:val="00E36D6E"/>
    <w:rsid w:val="00E37C8B"/>
    <w:rsid w:val="00E37ECE"/>
    <w:rsid w:val="00E40176"/>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28B"/>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4F9"/>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35D"/>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6EAC"/>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83A"/>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366128"/>
    <w:rPr>
      <w:rFonts w:ascii="Times New Roman" w:hAnsi="Times New Roman" w:cs="Times New Roman"/>
    </w:rPr>
  </w:style>
  <w:style w:type="character" w:styleId="Strong">
    <w:name w:val="Strong"/>
    <w:basedOn w:val="DefaultParagraphFont"/>
    <w:uiPriority w:val="22"/>
    <w:qFormat/>
    <w:rsid w:val="0036612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787284">
      <w:bodyDiv w:val="1"/>
      <w:marLeft w:val="0"/>
      <w:marRight w:val="0"/>
      <w:marTop w:val="0"/>
      <w:marBottom w:val="0"/>
      <w:divBdr>
        <w:top w:val="none" w:sz="0" w:space="0" w:color="auto"/>
        <w:left w:val="none" w:sz="0" w:space="0" w:color="auto"/>
        <w:bottom w:val="none" w:sz="0" w:space="0" w:color="auto"/>
        <w:right w:val="none" w:sz="0" w:space="0" w:color="auto"/>
      </w:divBdr>
    </w:div>
    <w:div w:id="230510383">
      <w:bodyDiv w:val="1"/>
      <w:marLeft w:val="0"/>
      <w:marRight w:val="0"/>
      <w:marTop w:val="0"/>
      <w:marBottom w:val="0"/>
      <w:divBdr>
        <w:top w:val="none" w:sz="0" w:space="0" w:color="auto"/>
        <w:left w:val="none" w:sz="0" w:space="0" w:color="auto"/>
        <w:bottom w:val="none" w:sz="0" w:space="0" w:color="auto"/>
        <w:right w:val="none" w:sz="0" w:space="0" w:color="auto"/>
      </w:divBdr>
    </w:div>
    <w:div w:id="247427582">
      <w:bodyDiv w:val="1"/>
      <w:marLeft w:val="0"/>
      <w:marRight w:val="0"/>
      <w:marTop w:val="0"/>
      <w:marBottom w:val="0"/>
      <w:divBdr>
        <w:top w:val="none" w:sz="0" w:space="0" w:color="auto"/>
        <w:left w:val="none" w:sz="0" w:space="0" w:color="auto"/>
        <w:bottom w:val="none" w:sz="0" w:space="0" w:color="auto"/>
        <w:right w:val="none" w:sz="0" w:space="0" w:color="auto"/>
      </w:divBdr>
      <w:divsChild>
        <w:div w:id="1464496576">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26492798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37821127">
      <w:bodyDiv w:val="1"/>
      <w:marLeft w:val="0"/>
      <w:marRight w:val="0"/>
      <w:marTop w:val="0"/>
      <w:marBottom w:val="0"/>
      <w:divBdr>
        <w:top w:val="none" w:sz="0" w:space="0" w:color="auto"/>
        <w:left w:val="none" w:sz="0" w:space="0" w:color="auto"/>
        <w:bottom w:val="none" w:sz="0" w:space="0" w:color="auto"/>
        <w:right w:val="none" w:sz="0" w:space="0" w:color="auto"/>
      </w:divBdr>
    </w:div>
    <w:div w:id="775295237">
      <w:bodyDiv w:val="1"/>
      <w:marLeft w:val="0"/>
      <w:marRight w:val="0"/>
      <w:marTop w:val="0"/>
      <w:marBottom w:val="0"/>
      <w:divBdr>
        <w:top w:val="none" w:sz="0" w:space="0" w:color="auto"/>
        <w:left w:val="none" w:sz="0" w:space="0" w:color="auto"/>
        <w:bottom w:val="none" w:sz="0" w:space="0" w:color="auto"/>
        <w:right w:val="none" w:sz="0" w:space="0" w:color="auto"/>
      </w:divBdr>
      <w:divsChild>
        <w:div w:id="1406762184">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53807">
      <w:bodyDiv w:val="1"/>
      <w:marLeft w:val="0"/>
      <w:marRight w:val="0"/>
      <w:marTop w:val="0"/>
      <w:marBottom w:val="0"/>
      <w:divBdr>
        <w:top w:val="none" w:sz="0" w:space="0" w:color="auto"/>
        <w:left w:val="none" w:sz="0" w:space="0" w:color="auto"/>
        <w:bottom w:val="none" w:sz="0" w:space="0" w:color="auto"/>
        <w:right w:val="none" w:sz="0" w:space="0" w:color="auto"/>
      </w:divBdr>
    </w:div>
    <w:div w:id="114007781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031493">
      <w:bodyDiv w:val="1"/>
      <w:marLeft w:val="0"/>
      <w:marRight w:val="0"/>
      <w:marTop w:val="0"/>
      <w:marBottom w:val="0"/>
      <w:divBdr>
        <w:top w:val="none" w:sz="0" w:space="0" w:color="auto"/>
        <w:left w:val="none" w:sz="0" w:space="0" w:color="auto"/>
        <w:bottom w:val="none" w:sz="0" w:space="0" w:color="auto"/>
        <w:right w:val="none" w:sz="0" w:space="0" w:color="auto"/>
      </w:divBdr>
    </w:div>
    <w:div w:id="1270428096">
      <w:bodyDiv w:val="1"/>
      <w:marLeft w:val="0"/>
      <w:marRight w:val="0"/>
      <w:marTop w:val="0"/>
      <w:marBottom w:val="0"/>
      <w:divBdr>
        <w:top w:val="none" w:sz="0" w:space="0" w:color="auto"/>
        <w:left w:val="none" w:sz="0" w:space="0" w:color="auto"/>
        <w:bottom w:val="none" w:sz="0" w:space="0" w:color="auto"/>
        <w:right w:val="none" w:sz="0" w:space="0" w:color="auto"/>
      </w:divBdr>
    </w:div>
    <w:div w:id="1529296904">
      <w:bodyDiv w:val="1"/>
      <w:marLeft w:val="0"/>
      <w:marRight w:val="0"/>
      <w:marTop w:val="0"/>
      <w:marBottom w:val="0"/>
      <w:divBdr>
        <w:top w:val="none" w:sz="0" w:space="0" w:color="auto"/>
        <w:left w:val="none" w:sz="0" w:space="0" w:color="auto"/>
        <w:bottom w:val="none" w:sz="0" w:space="0" w:color="auto"/>
        <w:right w:val="none" w:sz="0" w:space="0" w:color="auto"/>
      </w:divBdr>
    </w:div>
    <w:div w:id="1698702771">
      <w:bodyDiv w:val="1"/>
      <w:marLeft w:val="0"/>
      <w:marRight w:val="0"/>
      <w:marTop w:val="0"/>
      <w:marBottom w:val="0"/>
      <w:divBdr>
        <w:top w:val="none" w:sz="0" w:space="0" w:color="auto"/>
        <w:left w:val="none" w:sz="0" w:space="0" w:color="auto"/>
        <w:bottom w:val="none" w:sz="0" w:space="0" w:color="auto"/>
        <w:right w:val="none" w:sz="0" w:space="0" w:color="auto"/>
      </w:divBdr>
    </w:div>
    <w:div w:id="1700202434">
      <w:bodyDiv w:val="1"/>
      <w:marLeft w:val="0"/>
      <w:marRight w:val="0"/>
      <w:marTop w:val="0"/>
      <w:marBottom w:val="0"/>
      <w:divBdr>
        <w:top w:val="none" w:sz="0" w:space="0" w:color="auto"/>
        <w:left w:val="none" w:sz="0" w:space="0" w:color="auto"/>
        <w:bottom w:val="none" w:sz="0" w:space="0" w:color="auto"/>
        <w:right w:val="none" w:sz="0" w:space="0" w:color="auto"/>
      </w:divBdr>
    </w:div>
    <w:div w:id="173469667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11037997">
      <w:bodyDiv w:val="1"/>
      <w:marLeft w:val="0"/>
      <w:marRight w:val="0"/>
      <w:marTop w:val="0"/>
      <w:marBottom w:val="0"/>
      <w:divBdr>
        <w:top w:val="none" w:sz="0" w:space="0" w:color="auto"/>
        <w:left w:val="none" w:sz="0" w:space="0" w:color="auto"/>
        <w:bottom w:val="none" w:sz="0" w:space="0" w:color="auto"/>
        <w:right w:val="none" w:sz="0" w:space="0" w:color="auto"/>
      </w:divBdr>
    </w:div>
    <w:div w:id="204421266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911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806023131/https://ww2.arb.ca.gov/sites/default/files/2025-07/2025_lcfs_fro_oal-approved_unofficial_07162025.pdf"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ww.globalelr.com/2025/02/environmental-groups-biofuel-trade-association-challenge-amendments-to-the-california-low-carbon-fuel-standard/"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806012533/https://ww2.arb.ca.gov/our-work/programs/low-carbon-fuel-standard/about"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2.arb.ca.gov/news/carb-cracks-down-low-carbon-fuel-standard-violator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ghginstitute.org/2020/01/22/the-low-carbon-fuel-standard-has-succeeded-but-how-does-it-wor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ssl.arb.ca.gov/lcfsrt/Login.aspx"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vt="http://schemas.openxmlformats.org/officeDocument/2006/docPropsVTypes" xmlns:ap="http://schemas.openxmlformats.org/officeDocument/2006/extended-properties"/>
</file>

<file path=docProps/core.xml><?xml version="1.0" encoding="utf-8"?>
<coreProperties xmlns:dc="http://purl.org/dc/elements/1.1/" xmlns:dcterms="http://purl.org/dc/terms/" xmlns:xsi="http://www.w3.org/2001/XMLSchema-instance" xmlns="http://schemas.openxmlformats.org/package/2006/metadata/core-properties">
  <lastPrinted>1900-01-01T05:00:00.0000000Z</lastPrinted>
  <dcterms:created xsi:type="dcterms:W3CDTF">1900-01-01T05:00:00.0000000Z</dcterms:created>
  <dcterms:modified xsi:type="dcterms:W3CDTF">1900-01-01T05:00:00.0000000Z</dcterms:modified>
</coreProperties>
</file>

<file path=docProps/custom.xml><?xml version="1.0" encoding="utf-8"?>
<op:Properties xmlns:vt="http://schemas.openxmlformats.org/officeDocument/2006/docPropsVTypes" xmlns:op="http://schemas.openxmlformats.org/officeDocument/2006/custom-properties"/>
</file>